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C2CC0">
        <w:tc>
          <w:tcPr>
            <w:tcW w:w="509" w:type="dxa"/>
          </w:tcPr>
          <w:p w:rsidR="003C2CC0" w:rsidRDefault="00D71428">
            <w:pPr>
              <w:pStyle w:val="a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C2CC0" w:rsidRDefault="00D71428">
            <w:pPr>
              <w:pStyle w:val="a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3C2CC0">
        <w:tc>
          <w:tcPr>
            <w:tcW w:w="509" w:type="dxa"/>
          </w:tcPr>
          <w:p w:rsidR="003C2CC0" w:rsidRDefault="00D71428">
            <w:pPr>
              <w:pStyle w:val="a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C2CC0">
              <w:trPr>
                <w:trHeight w:hRule="exact" w:val="1021"/>
              </w:trPr>
              <w:tc>
                <w:tcPr>
                  <w:tcW w:w="9242" w:type="dxa"/>
                  <w:vAlign w:val="center"/>
                </w:tcPr>
                <w:p w:rsidR="003C2CC0" w:rsidRDefault="00D71428" w:rsidP="00CC2D29">
                  <w:pPr>
                    <w:pStyle w:val="affff0"/>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rsidR="003C2CC0" w:rsidRDefault="00D71428">
            <w:pPr>
              <w:pStyle w:val="a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2"/>
          </w:p>
        </w:tc>
      </w:tr>
    </w:tbl>
    <w:bookmarkStart w:id="3" w:name="_Hlk26473981"/>
    <w:p w:rsidR="003C2CC0" w:rsidRDefault="00D71428">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中国核学会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3C2CC0" w:rsidRDefault="00D71428">
      <w:pPr>
        <w:pStyle w:val="affffffffff1"/>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     </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3C2CC0" w:rsidRDefault="00D71428">
      <w:pPr>
        <w:pStyle w:val="affffffffff2"/>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C2CC0" w:rsidRDefault="00D7142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C2CC0" w:rsidRDefault="003C2CC0">
      <w:pPr>
        <w:pStyle w:val="affff1"/>
        <w:framePr w:w="9639" w:h="6976" w:hRule="exact" w:hSpace="0" w:vSpace="0" w:wrap="around" w:hAnchor="page" w:y="6408"/>
        <w:jc w:val="center"/>
        <w:rPr>
          <w:rFonts w:ascii="黑体" w:eastAsia="黑体" w:hAnsi="黑体"/>
          <w:b w:val="0"/>
          <w:bCs w:val="0"/>
          <w:w w:val="100"/>
        </w:rPr>
      </w:pPr>
    </w:p>
    <w:p w:rsidR="003C2CC0" w:rsidRDefault="00D71428">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地浸铀矿山终采区地下水修复目标</w:t>
      </w:r>
    </w:p>
    <w:p w:rsidR="003C2CC0" w:rsidRDefault="00D71428">
      <w:pPr>
        <w:pStyle w:val="affffffffff3"/>
        <w:framePr w:h="6974" w:hRule="exact" w:wrap="around" w:x="1419" w:anchorLock="1"/>
      </w:pPr>
      <w:r>
        <w:rPr>
          <w:rFonts w:hint="eastAsia"/>
        </w:rPr>
        <w:t>确定准则</w:t>
      </w:r>
      <w:r>
        <w:fldChar w:fldCharType="end"/>
      </w:r>
      <w:bookmarkEnd w:id="9"/>
    </w:p>
    <w:p w:rsidR="003C2CC0" w:rsidRDefault="003C2CC0">
      <w:pPr>
        <w:framePr w:w="9639" w:h="6974" w:hRule="exact" w:wrap="around" w:vAnchor="page" w:hAnchor="page" w:x="1419" w:y="6408" w:anchorLock="1"/>
        <w:ind w:left="-1418"/>
      </w:pPr>
    </w:p>
    <w:p w:rsidR="003C2CC0" w:rsidRDefault="00D71428">
      <w:pPr>
        <w:pStyle w:val="afffffff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w:t>
      </w:r>
      <w:r>
        <w:rPr>
          <w:rFonts w:eastAsia="黑体" w:hint="eastAsia"/>
          <w:szCs w:val="28"/>
        </w:rPr>
        <w:t>riteria for determining groundwater remediation targets at decommissioned in-situ leaching uranium mines</w:t>
      </w:r>
      <w:r>
        <w:rPr>
          <w:rFonts w:eastAsia="黑体"/>
          <w:szCs w:val="28"/>
        </w:rPr>
        <w:fldChar w:fldCharType="end"/>
      </w:r>
      <w:bookmarkEnd w:id="10"/>
    </w:p>
    <w:p w:rsidR="003C2CC0" w:rsidRDefault="003C2CC0">
      <w:pPr>
        <w:framePr w:w="9639" w:h="6974" w:hRule="exact" w:wrap="around" w:vAnchor="page" w:hAnchor="page" w:x="1419" w:y="6408" w:anchorLock="1"/>
        <w:spacing w:line="760" w:lineRule="exact"/>
        <w:ind w:left="-1418"/>
      </w:pPr>
    </w:p>
    <w:p w:rsidR="003C2CC0" w:rsidRDefault="003C2CC0">
      <w:pPr>
        <w:pStyle w:val="afffffff6"/>
        <w:framePr w:w="9639" w:h="6974" w:hRule="exact" w:wrap="around" w:vAnchor="page" w:hAnchor="page" w:x="1419" w:y="6408" w:anchorLock="1"/>
        <w:textAlignment w:val="bottom"/>
        <w:rPr>
          <w:rFonts w:eastAsia="黑体"/>
          <w:szCs w:val="28"/>
        </w:rPr>
      </w:pPr>
    </w:p>
    <w:p w:rsidR="003C2CC0" w:rsidRDefault="00D71428">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3C2CC0" w:rsidRDefault="00D71428">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3C2CC0" w:rsidRDefault="00D71428">
      <w:pPr>
        <w:pStyle w:val="a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3C2CC0" w:rsidRDefault="00D71428">
      <w:pPr>
        <w:pStyle w:val="affffffffff"/>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C2CC0" w:rsidRDefault="00D71428">
      <w:pPr>
        <w:pStyle w:val="affffffffff0"/>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C2CC0" w:rsidRDefault="00D71428">
      <w:pPr>
        <w:pStyle w:val="affffffff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w:t>
      </w:r>
      <w:r>
        <w:rPr>
          <w:rFonts w:hAnsi="黑体" w:hint="eastAsia"/>
          <w:w w:val="100"/>
          <w:sz w:val="28"/>
        </w:rPr>
        <w:t>核学会</w:t>
      </w:r>
      <w:r>
        <w:rPr>
          <w:rFonts w:hAnsi="黑体"/>
          <w:w w:val="100"/>
          <w:sz w:val="28"/>
        </w:rPr>
        <w:fldChar w:fldCharType="end"/>
      </w:r>
      <w:bookmarkEnd w:id="20"/>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rsidR="003C2CC0" w:rsidRDefault="00D71428">
      <w:pPr>
        <w:rPr>
          <w:rFonts w:ascii="宋体" w:hAnsi="宋体"/>
          <w:sz w:val="28"/>
          <w:szCs w:val="28"/>
        </w:rPr>
        <w:sectPr w:rsidR="003C2CC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C2CC0" w:rsidRDefault="00D71428">
      <w:pPr>
        <w:pStyle w:val="affffff3"/>
        <w:spacing w:after="360"/>
      </w:pPr>
      <w:bookmarkStart w:id="21" w:name="BookMark1"/>
      <w:bookmarkStart w:id="22" w:name="_Toc126658363"/>
      <w:r>
        <w:rPr>
          <w:rFonts w:hint="eastAsia"/>
          <w:spacing w:val="320"/>
        </w:rPr>
        <w:lastRenderedPageBreak/>
        <w:t>目</w:t>
      </w:r>
      <w:r>
        <w:rPr>
          <w:rFonts w:hint="eastAsia"/>
        </w:rPr>
        <w:t>次</w:t>
      </w:r>
    </w:p>
    <w:p w:rsidR="003C2CC0" w:rsidRDefault="00D71428">
      <w:pPr>
        <w:pStyle w:val="TOC1"/>
        <w:tabs>
          <w:tab w:val="right" w:leader="dot" w:pos="9354"/>
        </w:tabs>
        <w:rPr>
          <w:rFonts w:ascii="Times New Roman" w:hAnsi="Times New Roman"/>
          <w:sz w:val="24"/>
          <w:szCs w:val="24"/>
        </w:rPr>
      </w:pPr>
      <w:r>
        <w:rPr>
          <w:rFonts w:ascii="Times New Roman" w:hAnsi="Times New Roman"/>
          <w:sz w:val="24"/>
          <w:szCs w:val="24"/>
          <w:highlight w:val="yellow"/>
        </w:rPr>
        <w:fldChar w:fldCharType="begin"/>
      </w:r>
      <w:r>
        <w:rPr>
          <w:rFonts w:ascii="Times New Roman" w:hAnsi="Times New Roman"/>
          <w:sz w:val="24"/>
          <w:szCs w:val="24"/>
          <w:highlight w:val="yellow"/>
        </w:rPr>
        <w:instrText xml:space="preserve"> TOC \o "1-1" \h </w:instrText>
      </w:r>
      <w:r>
        <w:rPr>
          <w:rFonts w:ascii="Times New Roman" w:hAnsi="Times New Roman"/>
          <w:sz w:val="24"/>
          <w:szCs w:val="24"/>
          <w:highlight w:val="yellow"/>
        </w:rPr>
        <w:fldChar w:fldCharType="separate"/>
      </w:r>
      <w:hyperlink w:anchor="_Toc942" w:history="1">
        <w:r>
          <w:rPr>
            <w:rFonts w:ascii="Times New Roman" w:hAnsi="Times New Roman"/>
            <w:spacing w:val="320"/>
            <w:sz w:val="24"/>
            <w:szCs w:val="24"/>
          </w:rPr>
          <w:t>前言</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_Toc942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II</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13984" w:history="1">
        <w:r>
          <w:rPr>
            <w:rFonts w:ascii="Times New Roman" w:hAnsi="Times New Roman"/>
            <w:sz w:val="24"/>
            <w:szCs w:val="24"/>
          </w:rPr>
          <w:t xml:space="preserve">1. </w:t>
        </w:r>
        <w:r>
          <w:rPr>
            <w:rFonts w:ascii="Times New Roman" w:hAnsi="Times New Roman"/>
            <w:sz w:val="24"/>
            <w:szCs w:val="24"/>
          </w:rPr>
          <w:t>范围</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_Toc13984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18636" w:history="1">
        <w:r>
          <w:rPr>
            <w:rFonts w:ascii="Times New Roman" w:hAnsi="Times New Roman"/>
            <w:sz w:val="24"/>
            <w:szCs w:val="24"/>
          </w:rPr>
          <w:t xml:space="preserve">2. </w:t>
        </w:r>
        <w:r>
          <w:rPr>
            <w:rFonts w:ascii="Times New Roman" w:hAnsi="Times New Roman"/>
            <w:sz w:val="24"/>
            <w:szCs w:val="24"/>
          </w:rPr>
          <w:t>规范性引用文件</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_Toc18636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12524" w:history="1">
        <w:r>
          <w:rPr>
            <w:rFonts w:ascii="Times New Roman" w:hAnsi="Times New Roman"/>
            <w:sz w:val="24"/>
            <w:szCs w:val="24"/>
          </w:rPr>
          <w:t xml:space="preserve">3. </w:t>
        </w:r>
        <w:r>
          <w:rPr>
            <w:rFonts w:ascii="Times New Roman" w:hAnsi="Times New Roman"/>
            <w:sz w:val="24"/>
            <w:szCs w:val="24"/>
          </w:rPr>
          <w:t>术语和定义</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_Toc12524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32147" w:history="1">
        <w:r>
          <w:rPr>
            <w:rFonts w:ascii="Times New Roman" w:hAnsi="Times New Roman"/>
            <w:sz w:val="24"/>
            <w:szCs w:val="24"/>
          </w:rPr>
          <w:t xml:space="preserve">4. </w:t>
        </w:r>
        <w:r>
          <w:rPr>
            <w:rFonts w:ascii="Times New Roman" w:hAnsi="Times New Roman"/>
            <w:sz w:val="24"/>
            <w:szCs w:val="24"/>
          </w:rPr>
          <w:t>基本要求</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w:instrText>
        </w:r>
        <w:r>
          <w:rPr>
            <w:rFonts w:ascii="Times New Roman" w:hAnsi="Times New Roman"/>
            <w:sz w:val="24"/>
            <w:szCs w:val="24"/>
          </w:rPr>
          <w:instrText xml:space="preserve">Toc32147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9661" w:history="1">
        <w:r>
          <w:rPr>
            <w:rFonts w:ascii="Times New Roman" w:hAnsi="Times New Roman"/>
            <w:sz w:val="24"/>
            <w:szCs w:val="24"/>
          </w:rPr>
          <w:t xml:space="preserve">5. </w:t>
        </w:r>
        <w:r>
          <w:rPr>
            <w:rFonts w:ascii="Times New Roman" w:hAnsi="Times New Roman"/>
            <w:sz w:val="24"/>
            <w:szCs w:val="24"/>
          </w:rPr>
          <w:t>工作程序</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_Toc9661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27471" w:history="1">
        <w:r>
          <w:rPr>
            <w:rFonts w:ascii="Times New Roman" w:hAnsi="Times New Roman"/>
            <w:sz w:val="24"/>
            <w:szCs w:val="24"/>
          </w:rPr>
          <w:t xml:space="preserve">6. </w:t>
        </w:r>
        <w:r>
          <w:rPr>
            <w:rFonts w:ascii="Times New Roman" w:hAnsi="Times New Roman"/>
            <w:sz w:val="24"/>
            <w:szCs w:val="24"/>
          </w:rPr>
          <w:t>本底水平与使用</w:t>
        </w:r>
        <w:r>
          <w:rPr>
            <w:rFonts w:ascii="Times New Roman" w:hAnsi="Times New Roman"/>
            <w:sz w:val="24"/>
            <w:szCs w:val="24"/>
          </w:rPr>
          <w:t>功能</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_Toc27471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26388" w:history="1">
        <w:r>
          <w:rPr>
            <w:rFonts w:ascii="Times New Roman" w:hAnsi="Times New Roman"/>
            <w:sz w:val="24"/>
            <w:szCs w:val="24"/>
          </w:rPr>
          <w:t xml:space="preserve">7. </w:t>
        </w:r>
        <w:r>
          <w:rPr>
            <w:rFonts w:ascii="Times New Roman" w:hAnsi="Times New Roman"/>
            <w:sz w:val="24"/>
            <w:szCs w:val="24"/>
          </w:rPr>
          <w:t>源项调查</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_Toc26388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14920" w:history="1">
        <w:r>
          <w:rPr>
            <w:rFonts w:ascii="Times New Roman" w:hAnsi="Times New Roman"/>
            <w:sz w:val="24"/>
            <w:szCs w:val="24"/>
          </w:rPr>
          <w:t xml:space="preserve">8. </w:t>
        </w:r>
        <w:r>
          <w:rPr>
            <w:rFonts w:ascii="Times New Roman" w:hAnsi="Times New Roman"/>
            <w:sz w:val="24"/>
            <w:szCs w:val="24"/>
          </w:rPr>
          <w:t>特征因子与修复范围</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_Toc14920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10582" w:history="1">
        <w:r>
          <w:rPr>
            <w:rFonts w:ascii="Times New Roman" w:hAnsi="Times New Roman"/>
            <w:sz w:val="24"/>
            <w:szCs w:val="24"/>
          </w:rPr>
          <w:t xml:space="preserve">9. </w:t>
        </w:r>
        <w:r>
          <w:rPr>
            <w:rFonts w:ascii="Times New Roman" w:hAnsi="Times New Roman"/>
            <w:sz w:val="24"/>
            <w:szCs w:val="24"/>
          </w:rPr>
          <w:t>放射性特征因子修复目标值</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_Toc10582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11671" w:history="1">
        <w:r>
          <w:rPr>
            <w:rFonts w:ascii="Times New Roman" w:hAnsi="Times New Roman"/>
            <w:sz w:val="24"/>
            <w:szCs w:val="24"/>
          </w:rPr>
          <w:t xml:space="preserve">10. </w:t>
        </w:r>
        <w:r>
          <w:rPr>
            <w:rFonts w:ascii="Times New Roman" w:hAnsi="Times New Roman"/>
            <w:sz w:val="24"/>
            <w:szCs w:val="24"/>
          </w:rPr>
          <w:t>非放射性特征因子修复目标值</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_Toc11671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19009" w:history="1">
        <w:r>
          <w:rPr>
            <w:rFonts w:ascii="Times New Roman" w:hAnsi="Times New Roman"/>
            <w:sz w:val="24"/>
            <w:szCs w:val="24"/>
          </w:rPr>
          <w:t xml:space="preserve">11. </w:t>
        </w:r>
        <w:r>
          <w:rPr>
            <w:rFonts w:ascii="Times New Roman" w:hAnsi="Times New Roman"/>
            <w:sz w:val="24"/>
            <w:szCs w:val="24"/>
          </w:rPr>
          <w:t>管控目标值</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_Toc19009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24301" w:history="1">
        <w:r>
          <w:rPr>
            <w:rFonts w:ascii="Times New Roman" w:hAnsi="Times New Roman"/>
            <w:sz w:val="24"/>
            <w:szCs w:val="24"/>
          </w:rPr>
          <w:t xml:space="preserve">12. </w:t>
        </w:r>
        <w:r>
          <w:rPr>
            <w:rFonts w:ascii="Times New Roman" w:hAnsi="Times New Roman"/>
            <w:sz w:val="24"/>
            <w:szCs w:val="24"/>
          </w:rPr>
          <w:t>代价利益优化阈值</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_Toc24301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hyperlink>
    </w:p>
    <w:p w:rsidR="003C2CC0" w:rsidRDefault="00D71428">
      <w:pPr>
        <w:pStyle w:val="TOC1"/>
        <w:tabs>
          <w:tab w:val="right" w:leader="dot" w:pos="9354"/>
        </w:tabs>
        <w:rPr>
          <w:rFonts w:ascii="Times New Roman" w:hAnsi="Times New Roman"/>
          <w:sz w:val="24"/>
          <w:szCs w:val="24"/>
        </w:rPr>
      </w:pPr>
      <w:hyperlink w:anchor="_Toc27678" w:history="1">
        <w:r>
          <w:rPr>
            <w:rFonts w:ascii="Times New Roman" w:hAnsi="Times New Roman"/>
            <w:sz w:val="24"/>
            <w:szCs w:val="24"/>
          </w:rPr>
          <w:t>附</w:t>
        </w:r>
        <w:r>
          <w:rPr>
            <w:rFonts w:ascii="Times New Roman" w:hAnsi="Times New Roman"/>
            <w:sz w:val="24"/>
            <w:szCs w:val="24"/>
          </w:rPr>
          <w:t xml:space="preserve"> </w:t>
        </w:r>
        <w:r>
          <w:rPr>
            <w:rFonts w:ascii="Times New Roman" w:hAnsi="Times New Roman"/>
            <w:sz w:val="24"/>
            <w:szCs w:val="24"/>
          </w:rPr>
          <w:t>录</w:t>
        </w:r>
        <w:r>
          <w:rPr>
            <w:rFonts w:ascii="Times New Roman" w:hAnsi="Times New Roman"/>
            <w:sz w:val="24"/>
            <w:szCs w:val="24"/>
          </w:rPr>
          <w:t xml:space="preserve"> </w:t>
        </w:r>
        <w:r>
          <w:rPr>
            <w:rFonts w:ascii="Times New Roman" w:hAnsi="Times New Roman"/>
            <w:sz w:val="24"/>
            <w:szCs w:val="24"/>
          </w:rPr>
          <w:t>A</w:t>
        </w:r>
        <w:r>
          <w:rPr>
            <w:rFonts w:ascii="Times New Roman" w:hAnsi="Times New Roman"/>
            <w:sz w:val="24"/>
            <w:szCs w:val="24"/>
          </w:rPr>
          <w:t xml:space="preserve"> </w:t>
        </w:r>
        <w:r>
          <w:rPr>
            <w:rFonts w:ascii="Times New Roman" w:hAnsi="Times New Roman"/>
            <w:sz w:val="24"/>
            <w:szCs w:val="24"/>
          </w:rPr>
          <w:t>（</w:t>
        </w:r>
        <w:r>
          <w:rPr>
            <w:rFonts w:ascii="Times New Roman" w:hAnsi="Times New Roman"/>
            <w:sz w:val="24"/>
            <w:szCs w:val="24"/>
          </w:rPr>
          <w:t>资料</w:t>
        </w:r>
        <w:r>
          <w:rPr>
            <w:rFonts w:ascii="Times New Roman" w:hAnsi="Times New Roman"/>
            <w:sz w:val="24"/>
            <w:szCs w:val="24"/>
          </w:rPr>
          <w:t>性）</w:t>
        </w:r>
        <w:r>
          <w:rPr>
            <w:rFonts w:ascii="Times New Roman" w:hAnsi="Times New Roman"/>
            <w:sz w:val="24"/>
            <w:szCs w:val="24"/>
          </w:rPr>
          <w:t xml:space="preserve"> </w:t>
        </w:r>
        <w:r>
          <w:rPr>
            <w:rFonts w:ascii="Times New Roman" w:hAnsi="Times New Roman"/>
            <w:sz w:val="24"/>
            <w:szCs w:val="24"/>
          </w:rPr>
          <w:t>地下水修复目标值确定工作程序图</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_Toc27678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hyperlink>
    </w:p>
    <w:p w:rsidR="003C2CC0" w:rsidRDefault="00D71428">
      <w:pPr>
        <w:pStyle w:val="TOC1"/>
        <w:tabs>
          <w:tab w:val="right" w:leader="dot" w:pos="9354"/>
        </w:tabs>
      </w:pPr>
      <w:hyperlink w:anchor="_Toc350" w:history="1">
        <w:r>
          <w:rPr>
            <w:rFonts w:ascii="Times New Roman" w:hAnsi="Times New Roman"/>
            <w:sz w:val="24"/>
            <w:szCs w:val="24"/>
          </w:rPr>
          <w:t>附</w:t>
        </w:r>
        <w:r>
          <w:rPr>
            <w:rFonts w:ascii="Times New Roman" w:hAnsi="Times New Roman"/>
            <w:sz w:val="24"/>
            <w:szCs w:val="24"/>
          </w:rPr>
          <w:t xml:space="preserve"> </w:t>
        </w:r>
        <w:r>
          <w:rPr>
            <w:rFonts w:ascii="Times New Roman" w:hAnsi="Times New Roman"/>
            <w:sz w:val="24"/>
            <w:szCs w:val="24"/>
          </w:rPr>
          <w:t>录</w:t>
        </w:r>
        <w:r>
          <w:rPr>
            <w:rFonts w:ascii="Times New Roman" w:hAnsi="Times New Roman"/>
            <w:sz w:val="24"/>
            <w:szCs w:val="24"/>
          </w:rPr>
          <w:t xml:space="preserve"> </w:t>
        </w:r>
        <w:r>
          <w:rPr>
            <w:rFonts w:ascii="Times New Roman" w:hAnsi="Times New Roman"/>
            <w:sz w:val="24"/>
            <w:szCs w:val="24"/>
          </w:rPr>
          <w:t>B</w:t>
        </w:r>
        <w:r>
          <w:rPr>
            <w:rFonts w:ascii="Times New Roman" w:hAnsi="Times New Roman"/>
            <w:sz w:val="24"/>
            <w:szCs w:val="24"/>
          </w:rPr>
          <w:t xml:space="preserve"> </w:t>
        </w:r>
        <w:r>
          <w:rPr>
            <w:rFonts w:ascii="Times New Roman" w:hAnsi="Times New Roman"/>
            <w:sz w:val="24"/>
            <w:szCs w:val="24"/>
          </w:rPr>
          <w:t>（</w:t>
        </w:r>
        <w:r>
          <w:rPr>
            <w:rFonts w:ascii="Times New Roman" w:hAnsi="Times New Roman"/>
            <w:sz w:val="24"/>
            <w:szCs w:val="24"/>
          </w:rPr>
          <w:t>资料</w:t>
        </w:r>
        <w:r>
          <w:rPr>
            <w:rFonts w:ascii="Times New Roman" w:hAnsi="Times New Roman"/>
            <w:sz w:val="24"/>
            <w:szCs w:val="24"/>
          </w:rPr>
          <w:t>性）</w:t>
        </w:r>
        <w:r>
          <w:rPr>
            <w:rFonts w:ascii="Times New Roman" w:hAnsi="Times New Roman"/>
            <w:sz w:val="24"/>
            <w:szCs w:val="24"/>
          </w:rPr>
          <w:t xml:space="preserve"> </w:t>
        </w:r>
        <w:r>
          <w:rPr>
            <w:rFonts w:ascii="Times New Roman" w:hAnsi="Times New Roman"/>
            <w:sz w:val="24"/>
            <w:szCs w:val="24"/>
          </w:rPr>
          <w:t>放射性</w:t>
        </w:r>
        <w:r>
          <w:rPr>
            <w:rFonts w:ascii="Times New Roman" w:hAnsi="Times New Roman"/>
            <w:sz w:val="24"/>
            <w:szCs w:val="24"/>
          </w:rPr>
          <w:t>核素</w:t>
        </w:r>
        <w:r>
          <w:rPr>
            <w:rFonts w:ascii="Times New Roman" w:hAnsi="Times New Roman"/>
            <w:sz w:val="24"/>
            <w:szCs w:val="24"/>
          </w:rPr>
          <w:t>可接受浓度计算推荐模型</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_Toc350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hyperlink>
    </w:p>
    <w:p w:rsidR="003C2CC0" w:rsidRDefault="00D71428">
      <w:pPr>
        <w:pStyle w:val="affffff3"/>
        <w:spacing w:after="360"/>
        <w:sectPr w:rsidR="003C2CC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Pr>
          <w:rFonts w:ascii="Times New Roman" w:eastAsia="宋体" w:hAnsi="Times New Roman"/>
          <w:szCs w:val="24"/>
          <w:highlight w:val="yellow"/>
        </w:rPr>
        <w:fldChar w:fldCharType="end"/>
      </w:r>
    </w:p>
    <w:p w:rsidR="003C2CC0" w:rsidRDefault="00D71428">
      <w:pPr>
        <w:pStyle w:val="affffff1"/>
        <w:numPr>
          <w:ilvl w:val="0"/>
          <w:numId w:val="29"/>
        </w:numPr>
        <w:spacing w:after="360"/>
        <w:rPr>
          <w:spacing w:val="320"/>
        </w:rPr>
      </w:pPr>
      <w:bookmarkStart w:id="23" w:name="_Toc942"/>
      <w:bookmarkStart w:id="24" w:name="BookMark2"/>
      <w:bookmarkEnd w:id="21"/>
      <w:r>
        <w:rPr>
          <w:spacing w:val="320"/>
        </w:rPr>
        <w:lastRenderedPageBreak/>
        <w:t>前言</w:t>
      </w:r>
      <w:bookmarkEnd w:id="22"/>
      <w:bookmarkEnd w:id="23"/>
    </w:p>
    <w:p w:rsidR="003C2CC0" w:rsidRDefault="00D71428">
      <w:pPr>
        <w:pStyle w:val="affff6"/>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CC2D29" w:rsidRDefault="00CC2D29">
      <w:pPr>
        <w:pStyle w:val="affff6"/>
        <w:ind w:firstLine="420"/>
        <w:rPr>
          <w:rFonts w:ascii="Times New Roman"/>
        </w:rPr>
      </w:pPr>
      <w:r>
        <w:rPr>
          <w:rFonts w:ascii="Times New Roman" w:hint="eastAsia"/>
        </w:rPr>
        <w:t>请注意本文件的某些内容可能涉及专利。本文件的发布机构不承担识别专利的责任。</w:t>
      </w:r>
    </w:p>
    <w:p w:rsidR="003C2CC0" w:rsidRDefault="00D71428">
      <w:pPr>
        <w:pStyle w:val="affff6"/>
        <w:ind w:firstLine="420"/>
        <w:rPr>
          <w:rFonts w:ascii="Times New Roman"/>
        </w:rPr>
      </w:pPr>
      <w:r>
        <w:rPr>
          <w:rFonts w:ascii="Times New Roman"/>
        </w:rPr>
        <w:t>本标准由中国核学</w:t>
      </w:r>
      <w:bookmarkStart w:id="25" w:name="_GoBack"/>
      <w:bookmarkEnd w:id="25"/>
      <w:r>
        <w:rPr>
          <w:rFonts w:ascii="Times New Roman"/>
        </w:rPr>
        <w:t>会提出。</w:t>
      </w:r>
    </w:p>
    <w:p w:rsidR="003C2CC0" w:rsidRDefault="00D71428">
      <w:pPr>
        <w:pStyle w:val="affff6"/>
        <w:ind w:firstLine="420"/>
        <w:rPr>
          <w:rFonts w:ascii="Times New Roman"/>
        </w:rPr>
      </w:pPr>
      <w:r>
        <w:rPr>
          <w:rFonts w:ascii="Times New Roman"/>
        </w:rPr>
        <w:t>本标准由核工业标准化研究所归口。</w:t>
      </w:r>
    </w:p>
    <w:p w:rsidR="003C2CC0" w:rsidRDefault="00D71428">
      <w:pPr>
        <w:pStyle w:val="affff6"/>
        <w:ind w:firstLine="420"/>
        <w:rPr>
          <w:rFonts w:ascii="Times New Roman"/>
        </w:rPr>
      </w:pPr>
      <w:r>
        <w:rPr>
          <w:rFonts w:ascii="Times New Roman"/>
        </w:rPr>
        <w:t>本标准起草单位：</w:t>
      </w:r>
      <w:r>
        <w:rPr>
          <w:rFonts w:ascii="Times New Roman"/>
        </w:rPr>
        <w:t>中核第四研究设计工程有限公司、核工业北京化工冶金研究院、</w:t>
      </w:r>
      <w:bookmarkStart w:id="26" w:name="OLE_LINK5"/>
      <w:proofErr w:type="gramStart"/>
      <w:r>
        <w:rPr>
          <w:rFonts w:ascii="Times New Roman"/>
        </w:rPr>
        <w:t>生态环境部</w:t>
      </w:r>
      <w:bookmarkEnd w:id="26"/>
      <w:r>
        <w:rPr>
          <w:rFonts w:ascii="Times New Roman"/>
        </w:rPr>
        <w:t>核与</w:t>
      </w:r>
      <w:proofErr w:type="gramEnd"/>
      <w:r>
        <w:rPr>
          <w:rFonts w:ascii="Times New Roman"/>
        </w:rPr>
        <w:t>辐射安全中心、</w:t>
      </w:r>
      <w:r>
        <w:rPr>
          <w:rFonts w:ascii="Times New Roman" w:hint="eastAsia"/>
        </w:rPr>
        <w:t>中</w:t>
      </w:r>
      <w:proofErr w:type="gramStart"/>
      <w:r>
        <w:rPr>
          <w:rFonts w:ascii="Times New Roman" w:hint="eastAsia"/>
        </w:rPr>
        <w:t>核铀</w:t>
      </w:r>
      <w:proofErr w:type="gramEnd"/>
      <w:r>
        <w:rPr>
          <w:rFonts w:ascii="Times New Roman" w:hint="eastAsia"/>
        </w:rPr>
        <w:t>业有限责任公司</w:t>
      </w:r>
      <w:r>
        <w:rPr>
          <w:rFonts w:ascii="Times New Roman" w:hint="eastAsia"/>
        </w:rPr>
        <w:t>、</w:t>
      </w:r>
      <w:r>
        <w:rPr>
          <w:rFonts w:ascii="Times New Roman"/>
        </w:rPr>
        <w:t>生态环境部</w:t>
      </w:r>
      <w:r>
        <w:rPr>
          <w:rFonts w:ascii="Times New Roman" w:hint="eastAsia"/>
        </w:rPr>
        <w:t>华北</w:t>
      </w:r>
      <w:r>
        <w:rPr>
          <w:rFonts w:ascii="Times New Roman"/>
        </w:rPr>
        <w:t>核与辐射安全监督站</w:t>
      </w:r>
      <w:r>
        <w:rPr>
          <w:rFonts w:ascii="Times New Roman" w:hint="eastAsia"/>
        </w:rPr>
        <w:t>、</w:t>
      </w:r>
      <w:r>
        <w:rPr>
          <w:rFonts w:ascii="Times New Roman"/>
        </w:rPr>
        <w:t>生态环境部西北核与辐射安全监督站</w:t>
      </w:r>
      <w:r>
        <w:rPr>
          <w:rFonts w:ascii="Times New Roman" w:hint="eastAsia"/>
        </w:rPr>
        <w:t>、</w:t>
      </w:r>
      <w:r>
        <w:rPr>
          <w:rFonts w:ascii="Times New Roman" w:hint="eastAsia"/>
        </w:rPr>
        <w:t>新疆维吾尔自治区核与辐射安全中心、内蒙古自治区核与辐射监测中心、</w:t>
      </w:r>
      <w:r>
        <w:rPr>
          <w:rFonts w:ascii="Times New Roman"/>
        </w:rPr>
        <w:t>中核新疆矿业有限公司、中核内蒙古矿业有限公司</w:t>
      </w:r>
      <w:r>
        <w:rPr>
          <w:rFonts w:ascii="Times New Roman" w:hint="eastAsia"/>
        </w:rPr>
        <w:t>、中核</w:t>
      </w:r>
      <w:proofErr w:type="gramStart"/>
      <w:r>
        <w:rPr>
          <w:rFonts w:ascii="Times New Roman" w:hint="eastAsia"/>
        </w:rPr>
        <w:t>通辽铀业有限责任公</w:t>
      </w:r>
      <w:proofErr w:type="gramEnd"/>
      <w:r>
        <w:rPr>
          <w:rFonts w:ascii="Times New Roman" w:hint="eastAsia"/>
        </w:rPr>
        <w:t>司</w:t>
      </w:r>
      <w:r>
        <w:rPr>
          <w:rFonts w:ascii="Times New Roman" w:hint="eastAsia"/>
        </w:rPr>
        <w:t>、</w:t>
      </w:r>
      <w:r>
        <w:rPr>
          <w:rFonts w:ascii="Times New Roman" w:hint="eastAsia"/>
        </w:rPr>
        <w:t>中核矿业科技集团有限公司</w:t>
      </w:r>
      <w:r>
        <w:rPr>
          <w:rFonts w:ascii="Times New Roman" w:hint="eastAsia"/>
        </w:rPr>
        <w:t>。</w:t>
      </w:r>
    </w:p>
    <w:p w:rsidR="003C2CC0" w:rsidRDefault="00D71428">
      <w:pPr>
        <w:pStyle w:val="affff6"/>
        <w:ind w:firstLine="420"/>
        <w:rPr>
          <w:rFonts w:ascii="Times New Roman"/>
        </w:rPr>
      </w:pPr>
      <w:r>
        <w:rPr>
          <w:rFonts w:ascii="Times New Roman"/>
        </w:rPr>
        <w:t>本标准主要起草人：</w:t>
      </w:r>
      <w:r>
        <w:rPr>
          <w:rFonts w:ascii="Times New Roman" w:hint="eastAsia"/>
        </w:rPr>
        <w:t>刘晓超、苏学斌、李梦姣、柏学凯、安毅夫、连国玺、江国平、闻振乾、曹凤波、朱全政、冀东、孟童、吴尚文、李存增、葛佳亮、廖运璇、杨新利、金显玺、格丽玛、隋文利、胡龙飞、吴黎武、</w:t>
      </w:r>
      <w:proofErr w:type="gramStart"/>
      <w:r>
        <w:rPr>
          <w:rFonts w:ascii="Times New Roman" w:hint="eastAsia"/>
        </w:rPr>
        <w:t>陈箭光</w:t>
      </w:r>
      <w:proofErr w:type="gramEnd"/>
      <w:r>
        <w:rPr>
          <w:rFonts w:ascii="Times New Roman" w:hint="eastAsia"/>
        </w:rPr>
        <w:t>、胥建军、闫纪帆、孙希龙</w:t>
      </w:r>
      <w:r>
        <w:rPr>
          <w:rFonts w:ascii="Times New Roman" w:hint="eastAsia"/>
        </w:rPr>
        <w:t>、姜岩</w:t>
      </w:r>
      <w:r>
        <w:rPr>
          <w:rFonts w:ascii="Times New Roman"/>
        </w:rPr>
        <w:t>。</w:t>
      </w:r>
    </w:p>
    <w:p w:rsidR="003C2CC0" w:rsidRDefault="003C2CC0">
      <w:pPr>
        <w:pStyle w:val="affff6"/>
        <w:ind w:firstLine="420"/>
      </w:pPr>
    </w:p>
    <w:p w:rsidR="003C2CC0" w:rsidRDefault="003C2CC0">
      <w:pPr>
        <w:pStyle w:val="affff6"/>
        <w:ind w:firstLine="420"/>
      </w:pPr>
    </w:p>
    <w:p w:rsidR="003C2CC0" w:rsidRDefault="003C2CC0">
      <w:pPr>
        <w:pStyle w:val="affff6"/>
        <w:ind w:firstLine="420"/>
        <w:sectPr w:rsidR="003C2CC0">
          <w:pgSz w:w="11906" w:h="16838"/>
          <w:pgMar w:top="1928" w:right="1134" w:bottom="1134" w:left="1134" w:header="1418" w:footer="1134" w:gutter="284"/>
          <w:pgNumType w:fmt="upperRoman"/>
          <w:cols w:space="425"/>
          <w:formProt w:val="0"/>
          <w:docGrid w:linePitch="312"/>
        </w:sectPr>
      </w:pPr>
    </w:p>
    <w:p w:rsidR="003C2CC0" w:rsidRDefault="003C2CC0">
      <w:pPr>
        <w:spacing w:line="20" w:lineRule="exact"/>
        <w:jc w:val="center"/>
        <w:rPr>
          <w:rFonts w:ascii="黑体" w:eastAsia="黑体" w:hAnsi="黑体"/>
          <w:sz w:val="32"/>
          <w:szCs w:val="32"/>
        </w:rPr>
      </w:pPr>
      <w:bookmarkStart w:id="27" w:name="BookMark4"/>
      <w:bookmarkEnd w:id="24"/>
    </w:p>
    <w:p w:rsidR="003C2CC0" w:rsidRDefault="003C2CC0">
      <w:pPr>
        <w:spacing w:line="20" w:lineRule="exact"/>
        <w:jc w:val="center"/>
        <w:rPr>
          <w:rFonts w:ascii="黑体" w:eastAsia="黑体" w:hAnsi="黑体"/>
          <w:sz w:val="32"/>
          <w:szCs w:val="32"/>
        </w:rPr>
      </w:pPr>
    </w:p>
    <w:bookmarkStart w:id="28" w:name="NEW_STAND_NAME" w:displacedByCustomXml="next"/>
    <w:bookmarkStart w:id="29" w:name="_Toc493606208" w:displacedByCustomXml="next"/>
    <w:sdt>
      <w:sdtPr>
        <w:tag w:val="NEW_STAND_NAME"/>
        <w:id w:val="595910757"/>
        <w:lock w:val="sdtLocked"/>
        <w:placeholder>
          <w:docPart w:val="5BC533A48C4945CABE49ADC834B815E0"/>
        </w:placeholder>
      </w:sdtPr>
      <w:sdtEndPr/>
      <w:sdtContent>
        <w:p w:rsidR="003C2CC0" w:rsidRDefault="00D71428">
          <w:pPr>
            <w:pStyle w:val="afffffffff7"/>
            <w:spacing w:beforeLines="1" w:before="2" w:afterLines="220" w:after="528"/>
          </w:pPr>
          <w:proofErr w:type="gramStart"/>
          <w:r>
            <w:rPr>
              <w:rFonts w:cs="黑体" w:hint="eastAsia"/>
            </w:rPr>
            <w:t>地浸铀矿山</w:t>
          </w:r>
          <w:proofErr w:type="gramEnd"/>
          <w:r>
            <w:rPr>
              <w:rFonts w:cs="黑体" w:hint="eastAsia"/>
            </w:rPr>
            <w:t>终采区</w:t>
          </w:r>
          <w:r>
            <w:rPr>
              <w:rFonts w:hint="eastAsia"/>
            </w:rPr>
            <w:t>地下水修复</w:t>
          </w:r>
          <w:r>
            <w:t>目标确定</w:t>
          </w:r>
          <w:bookmarkEnd w:id="29"/>
          <w:r>
            <w:rPr>
              <w:rFonts w:hint="eastAsia"/>
            </w:rPr>
            <w:t>准则</w:t>
          </w:r>
        </w:p>
      </w:sdtContent>
    </w:sdt>
    <w:p w:rsidR="003C2CC0" w:rsidRDefault="00D71428">
      <w:pPr>
        <w:pStyle w:val="affffffa"/>
        <w:numPr>
          <w:ilvl w:val="0"/>
          <w:numId w:val="30"/>
        </w:numPr>
        <w:spacing w:before="240" w:after="240"/>
        <w:ind w:left="0" w:firstLine="0"/>
      </w:pPr>
      <w:bookmarkStart w:id="30" w:name="_Toc26648465"/>
      <w:bookmarkStart w:id="31" w:name="_Toc97192964"/>
      <w:bookmarkStart w:id="32" w:name="_Toc26986771"/>
      <w:bookmarkStart w:id="33" w:name="_Toc26718930"/>
      <w:bookmarkStart w:id="34" w:name="_Toc126658364"/>
      <w:bookmarkStart w:id="35" w:name="_Toc24884211"/>
      <w:bookmarkStart w:id="36" w:name="_Toc24884218"/>
      <w:bookmarkStart w:id="37" w:name="_Toc17233325"/>
      <w:bookmarkStart w:id="38" w:name="_Toc26986530"/>
      <w:bookmarkStart w:id="39" w:name="_Toc17233333"/>
      <w:bookmarkStart w:id="40" w:name="_Toc13984"/>
      <w:bookmarkEnd w:id="28"/>
      <w:r>
        <w:rPr>
          <w:rFonts w:hint="eastAsia"/>
        </w:rPr>
        <w:t>范围</w:t>
      </w:r>
      <w:bookmarkEnd w:id="30"/>
      <w:bookmarkEnd w:id="31"/>
      <w:bookmarkEnd w:id="32"/>
      <w:bookmarkEnd w:id="33"/>
      <w:bookmarkEnd w:id="34"/>
      <w:bookmarkEnd w:id="35"/>
      <w:bookmarkEnd w:id="36"/>
      <w:bookmarkEnd w:id="37"/>
      <w:bookmarkEnd w:id="38"/>
      <w:bookmarkEnd w:id="39"/>
      <w:bookmarkEnd w:id="40"/>
    </w:p>
    <w:p w:rsidR="003C2CC0" w:rsidRDefault="00D71428">
      <w:pPr>
        <w:pStyle w:val="affff6"/>
        <w:ind w:firstLine="420"/>
      </w:pPr>
      <w:bookmarkStart w:id="41" w:name="_Toc24884212"/>
      <w:bookmarkStart w:id="42" w:name="_Toc26648466"/>
      <w:bookmarkStart w:id="43" w:name="_Toc17233334"/>
      <w:bookmarkStart w:id="44" w:name="_Toc24884219"/>
      <w:bookmarkStart w:id="45" w:name="_Toc17233326"/>
      <w:r>
        <w:t>本文件规定了</w:t>
      </w:r>
      <w:proofErr w:type="gramStart"/>
      <w:r>
        <w:rPr>
          <w:rFonts w:hint="eastAsia"/>
        </w:rPr>
        <w:t>地浸铀矿山</w:t>
      </w:r>
      <w:proofErr w:type="gramEnd"/>
      <w:r>
        <w:rPr>
          <w:rFonts w:hint="eastAsia"/>
        </w:rPr>
        <w:t>终采区</w:t>
      </w:r>
      <w:r>
        <w:t>地下水修复目标值确定的基本</w:t>
      </w:r>
      <w:r>
        <w:rPr>
          <w:rFonts w:hint="eastAsia"/>
        </w:rPr>
        <w:t>要求</w:t>
      </w:r>
      <w:r>
        <w:t>和</w:t>
      </w:r>
      <w:r>
        <w:rPr>
          <w:rFonts w:hint="eastAsia"/>
        </w:rPr>
        <w:t>方法</w:t>
      </w:r>
      <w:r>
        <w:t>。</w:t>
      </w:r>
    </w:p>
    <w:p w:rsidR="003C2CC0" w:rsidRDefault="00D71428">
      <w:pPr>
        <w:pStyle w:val="affff6"/>
        <w:ind w:firstLine="420"/>
      </w:pPr>
      <w:r>
        <w:t>本文件适用于</w:t>
      </w:r>
      <w:proofErr w:type="gramStart"/>
      <w:r>
        <w:rPr>
          <w:rFonts w:hint="eastAsia"/>
        </w:rPr>
        <w:t>地浸铀矿山</w:t>
      </w:r>
      <w:proofErr w:type="gramEnd"/>
      <w:r>
        <w:rPr>
          <w:rFonts w:hint="eastAsia"/>
        </w:rPr>
        <w:t>终采区</w:t>
      </w:r>
      <w:r>
        <w:t>地下水修复目标值确定</w:t>
      </w:r>
      <w:r>
        <w:t>。</w:t>
      </w:r>
    </w:p>
    <w:p w:rsidR="003C2CC0" w:rsidRDefault="00D71428">
      <w:pPr>
        <w:pStyle w:val="affffffa"/>
        <w:numPr>
          <w:ilvl w:val="0"/>
          <w:numId w:val="30"/>
        </w:numPr>
        <w:spacing w:before="240" w:after="240"/>
        <w:ind w:left="0" w:firstLine="0"/>
      </w:pPr>
      <w:bookmarkStart w:id="46" w:name="_Toc126658365"/>
      <w:bookmarkStart w:id="47" w:name="_Toc26986531"/>
      <w:bookmarkStart w:id="48" w:name="_Toc26986772"/>
      <w:bookmarkStart w:id="49" w:name="_Toc26718931"/>
      <w:bookmarkStart w:id="50" w:name="_Toc97192965"/>
      <w:bookmarkStart w:id="51" w:name="_Toc18636"/>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color w:val="000000" w:themeColor="text1"/>
        </w:rPr>
        <w:id w:val="715848253"/>
        <w:placeholder>
          <w:docPart w:val="BF83E6141FF1496A8567937BDEB3557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hint="default"/>
        </w:rPr>
      </w:sdtEndPr>
      <w:sdtContent>
        <w:p w:rsidR="003C2CC0" w:rsidRDefault="00D71428">
          <w:pPr>
            <w:pStyle w:val="affff6"/>
            <w:ind w:firstLine="420"/>
            <w:rPr>
              <w:rFonts w:ascii="Times New Roman"/>
              <w:color w:val="000000" w:themeColor="text1"/>
            </w:rPr>
          </w:pPr>
          <w:r>
            <w:rPr>
              <w:rFonts w:ascii="Times New Roman"/>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C2CC0" w:rsidRDefault="00D71428">
      <w:pPr>
        <w:pStyle w:val="affff6"/>
        <w:ind w:firstLine="420"/>
        <w:rPr>
          <w:rFonts w:ascii="Times New Roman"/>
        </w:rPr>
      </w:pPr>
      <w:r>
        <w:rPr>
          <w:rFonts w:ascii="Times New Roman"/>
        </w:rPr>
        <w:t>GB</w:t>
      </w:r>
      <w:r>
        <w:rPr>
          <w:rFonts w:ascii="Times New Roman" w:hint="eastAsia"/>
        </w:rPr>
        <w:t xml:space="preserve"> 5749 </w:t>
      </w:r>
      <w:r>
        <w:rPr>
          <w:rFonts w:ascii="Times New Roman"/>
        </w:rPr>
        <w:t>生活饮用水卫生标准</w:t>
      </w:r>
    </w:p>
    <w:p w:rsidR="003C2CC0" w:rsidRDefault="00D71428">
      <w:pPr>
        <w:pStyle w:val="affff6"/>
        <w:ind w:firstLine="420"/>
        <w:rPr>
          <w:rFonts w:ascii="Times New Roman"/>
        </w:rPr>
      </w:pPr>
      <w:r>
        <w:rPr>
          <w:rFonts w:ascii="Times New Roman"/>
        </w:rPr>
        <w:t xml:space="preserve">GB 14586 </w:t>
      </w:r>
      <w:r>
        <w:rPr>
          <w:rFonts w:ascii="Times New Roman"/>
        </w:rPr>
        <w:t>铀矿冶设施退役</w:t>
      </w:r>
      <w:r>
        <w:rPr>
          <w:rFonts w:ascii="Times New Roman" w:hint="eastAsia"/>
        </w:rPr>
        <w:t>辐射</w:t>
      </w:r>
      <w:r>
        <w:rPr>
          <w:rFonts w:ascii="Times New Roman"/>
        </w:rPr>
        <w:t>环境管理技术规定</w:t>
      </w:r>
    </w:p>
    <w:p w:rsidR="003C2CC0" w:rsidRDefault="00D71428">
      <w:pPr>
        <w:pStyle w:val="affff6"/>
        <w:ind w:firstLine="420"/>
        <w:rPr>
          <w:rFonts w:ascii="Times New Roman"/>
        </w:rPr>
      </w:pPr>
      <w:r>
        <w:rPr>
          <w:rFonts w:ascii="Times New Roman"/>
        </w:rPr>
        <w:t xml:space="preserve">GB 23726 </w:t>
      </w:r>
      <w:r>
        <w:rPr>
          <w:rFonts w:ascii="Times New Roman"/>
        </w:rPr>
        <w:t>铀矿冶</w:t>
      </w:r>
      <w:r>
        <w:rPr>
          <w:rFonts w:ascii="Times New Roman" w:hint="eastAsia"/>
        </w:rPr>
        <w:t>流出物和</w:t>
      </w:r>
      <w:r>
        <w:rPr>
          <w:rFonts w:ascii="Times New Roman"/>
        </w:rPr>
        <w:t>辐射环境监测规定</w:t>
      </w:r>
    </w:p>
    <w:p w:rsidR="003C2CC0" w:rsidRDefault="00D71428">
      <w:pPr>
        <w:pStyle w:val="affff6"/>
        <w:ind w:firstLine="420"/>
        <w:rPr>
          <w:rFonts w:ascii="Times New Roman"/>
        </w:rPr>
      </w:pPr>
      <w:r>
        <w:rPr>
          <w:rFonts w:ascii="Times New Roman"/>
        </w:rPr>
        <w:t xml:space="preserve">GB 23727 </w:t>
      </w:r>
      <w:r>
        <w:rPr>
          <w:rFonts w:ascii="Times New Roman"/>
        </w:rPr>
        <w:t>铀矿冶辐射防护和辐射环境保护规定</w:t>
      </w:r>
    </w:p>
    <w:p w:rsidR="003C2CC0" w:rsidRDefault="00D71428">
      <w:pPr>
        <w:pStyle w:val="affff6"/>
        <w:ind w:firstLine="420"/>
        <w:rPr>
          <w:rFonts w:ascii="Times New Roman"/>
        </w:rPr>
      </w:pPr>
      <w:r>
        <w:rPr>
          <w:rFonts w:ascii="Times New Roman"/>
        </w:rPr>
        <w:t xml:space="preserve">GB/T 14848 </w:t>
      </w:r>
      <w:r>
        <w:rPr>
          <w:rFonts w:ascii="Times New Roman"/>
        </w:rPr>
        <w:t>地下水质量标准</w:t>
      </w:r>
    </w:p>
    <w:p w:rsidR="003C2CC0" w:rsidRDefault="00D71428">
      <w:pPr>
        <w:pStyle w:val="affff6"/>
        <w:ind w:firstLine="420"/>
        <w:rPr>
          <w:rFonts w:ascii="Times New Roman"/>
        </w:rPr>
      </w:pPr>
      <w:r>
        <w:rPr>
          <w:rFonts w:ascii="Times New Roman"/>
        </w:rPr>
        <w:t xml:space="preserve">HJ 25.6 </w:t>
      </w:r>
      <w:r>
        <w:rPr>
          <w:rFonts w:ascii="Times New Roman"/>
        </w:rPr>
        <w:t>污染地块地下水修复和风险管控技术导则</w:t>
      </w:r>
    </w:p>
    <w:p w:rsidR="003C2CC0" w:rsidRDefault="00D71428">
      <w:pPr>
        <w:pStyle w:val="affff6"/>
        <w:ind w:firstLine="420"/>
        <w:rPr>
          <w:rFonts w:ascii="Times New Roman"/>
        </w:rPr>
      </w:pPr>
      <w:r>
        <w:rPr>
          <w:rFonts w:ascii="Times New Roman"/>
        </w:rPr>
        <w:t xml:space="preserve">HJ 610 </w:t>
      </w:r>
      <w:r>
        <w:rPr>
          <w:rFonts w:ascii="Times New Roman"/>
        </w:rPr>
        <w:t>环境影响评价技术导则</w:t>
      </w:r>
      <w:r>
        <w:rPr>
          <w:rFonts w:ascii="Times New Roman"/>
        </w:rPr>
        <w:t xml:space="preserve">  </w:t>
      </w:r>
      <w:r>
        <w:rPr>
          <w:rFonts w:ascii="Times New Roman"/>
        </w:rPr>
        <w:t>地下水环境</w:t>
      </w:r>
    </w:p>
    <w:p w:rsidR="003C2CC0" w:rsidRDefault="00D71428">
      <w:pPr>
        <w:pStyle w:val="aff3"/>
        <w:rPr>
          <w:rFonts w:ascii="Times New Roman"/>
          <w:color w:val="000000" w:themeColor="text1"/>
        </w:rPr>
      </w:pPr>
      <w:r>
        <w:rPr>
          <w:rFonts w:ascii="Times New Roman"/>
        </w:rPr>
        <w:t xml:space="preserve">HJ 1015.2 </w:t>
      </w:r>
      <w:r>
        <w:rPr>
          <w:rFonts w:ascii="Times New Roman"/>
        </w:rPr>
        <w:t>环境影响评价技术导则</w:t>
      </w:r>
      <w:r>
        <w:rPr>
          <w:rFonts w:ascii="Times New Roman"/>
        </w:rPr>
        <w:t xml:space="preserve">  </w:t>
      </w:r>
      <w:r>
        <w:rPr>
          <w:rFonts w:ascii="Times New Roman"/>
        </w:rPr>
        <w:t>铀矿冶退役</w:t>
      </w:r>
    </w:p>
    <w:p w:rsidR="003C2CC0" w:rsidRDefault="00D71428">
      <w:pPr>
        <w:pStyle w:val="affffffa"/>
        <w:numPr>
          <w:ilvl w:val="0"/>
          <w:numId w:val="30"/>
        </w:numPr>
        <w:spacing w:before="240" w:after="240"/>
        <w:ind w:left="0" w:firstLine="0"/>
      </w:pPr>
      <w:bookmarkStart w:id="52" w:name="_Toc97192966"/>
      <w:bookmarkStart w:id="53" w:name="_Toc12524"/>
      <w:bookmarkStart w:id="54" w:name="_Toc126658366"/>
      <w:r>
        <w:rPr>
          <w:rFonts w:hint="eastAsia"/>
        </w:rPr>
        <w:t>术语和定义</w:t>
      </w:r>
      <w:bookmarkEnd w:id="52"/>
      <w:bookmarkEnd w:id="53"/>
      <w:bookmarkEnd w:id="54"/>
    </w:p>
    <w:bookmarkStart w:id="55" w:name="_Toc26986532" w:displacedByCustomXml="next"/>
    <w:bookmarkEnd w:id="55" w:displacedByCustomXml="next"/>
    <w:sdt>
      <w:sdtPr>
        <w:id w:val="-1909835108"/>
        <w:placeholder>
          <w:docPart w:val="CA307607184741A49711F0B752FFE25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2CC0" w:rsidRDefault="00D71428">
          <w:pPr>
            <w:pStyle w:val="affff6"/>
            <w:ind w:firstLine="420"/>
            <w:rPr>
              <w:color w:val="FF0000"/>
            </w:rPr>
          </w:pPr>
          <w:r>
            <w:t>下列术语和定义适用于本文件。</w:t>
          </w:r>
        </w:p>
      </w:sdtContent>
    </w:sdt>
    <w:p w:rsidR="003C2CC0" w:rsidRDefault="00D71428">
      <w:pPr>
        <w:pStyle w:val="afffffffffff8"/>
        <w:ind w:left="420" w:hangingChars="200" w:hanging="420"/>
        <w:rPr>
          <w:rFonts w:ascii="黑体" w:eastAsia="黑体" w:hAnsi="黑体"/>
        </w:rPr>
      </w:pPr>
      <w:r>
        <w:rPr>
          <w:rFonts w:ascii="黑体" w:eastAsia="黑体" w:hAnsi="黑体" w:hint="eastAsia"/>
        </w:rPr>
        <w:t>3.1</w:t>
      </w:r>
    </w:p>
    <w:p w:rsidR="003C2CC0" w:rsidRDefault="00D71428">
      <w:pPr>
        <w:pStyle w:val="afffffffffff8"/>
        <w:ind w:firstLineChars="200" w:firstLine="420"/>
        <w:rPr>
          <w:rFonts w:ascii="Times New Roman" w:eastAsia="黑体"/>
        </w:rPr>
      </w:pPr>
      <w:proofErr w:type="gramStart"/>
      <w:r>
        <w:rPr>
          <w:rFonts w:ascii="黑体" w:eastAsia="黑体" w:hAnsi="黑体" w:hint="eastAsia"/>
        </w:rPr>
        <w:t>地浸铀矿山</w:t>
      </w:r>
      <w:proofErr w:type="gramEnd"/>
      <w:r>
        <w:rPr>
          <w:rFonts w:ascii="黑体" w:eastAsia="黑体" w:hAnsi="黑体" w:hint="eastAsia"/>
        </w:rPr>
        <w:t xml:space="preserve"> </w:t>
      </w:r>
      <w:r>
        <w:rPr>
          <w:rFonts w:ascii="Times New Roman" w:eastAsia="黑体" w:hint="eastAsia"/>
        </w:rPr>
        <w:t>in-situ leaching uranium mine</w:t>
      </w:r>
      <w:r>
        <w:rPr>
          <w:rFonts w:ascii="Times New Roman" w:eastAsia="黑体" w:hint="eastAsia"/>
        </w:rPr>
        <w:t>s</w:t>
      </w:r>
    </w:p>
    <w:p w:rsidR="003C2CC0" w:rsidRDefault="00D71428">
      <w:pPr>
        <w:pStyle w:val="afffffffffff8"/>
        <w:ind w:firstLineChars="200" w:firstLine="420"/>
        <w:rPr>
          <w:rFonts w:ascii="黑体" w:eastAsia="黑体" w:hAnsi="黑体"/>
        </w:rPr>
      </w:pPr>
      <w:r>
        <w:rPr>
          <w:rFonts w:hint="eastAsia"/>
        </w:rPr>
        <w:t>采用</w:t>
      </w:r>
      <w:proofErr w:type="gramStart"/>
      <w:r>
        <w:rPr>
          <w:rFonts w:hint="eastAsia"/>
        </w:rPr>
        <w:t>地浸采铀</w:t>
      </w:r>
      <w:proofErr w:type="gramEnd"/>
      <w:r>
        <w:rPr>
          <w:rFonts w:hint="eastAsia"/>
        </w:rPr>
        <w:t>工艺从事含铀系放射性核素</w:t>
      </w:r>
      <w:r>
        <w:rPr>
          <w:rFonts w:hint="eastAsia"/>
        </w:rPr>
        <w:t>矿产</w:t>
      </w:r>
      <w:r>
        <w:rPr>
          <w:rFonts w:hint="eastAsia"/>
        </w:rPr>
        <w:t>开采和浸出液处理活动的铀矿山。</w:t>
      </w:r>
    </w:p>
    <w:p w:rsidR="003C2CC0" w:rsidRDefault="00D71428">
      <w:pPr>
        <w:pStyle w:val="afffffffffff8"/>
        <w:ind w:left="420" w:hangingChars="200" w:hanging="420"/>
        <w:rPr>
          <w:rFonts w:ascii="黑体" w:eastAsia="黑体" w:hAnsi="黑体"/>
        </w:rPr>
      </w:pPr>
      <w:r>
        <w:rPr>
          <w:rFonts w:ascii="黑体" w:eastAsia="黑体" w:hAnsi="黑体" w:hint="eastAsia"/>
        </w:rPr>
        <w:t>3.</w:t>
      </w:r>
      <w:r>
        <w:rPr>
          <w:rFonts w:ascii="黑体" w:eastAsia="黑体" w:hAnsi="黑体" w:hint="eastAsia"/>
        </w:rPr>
        <w:t>2</w:t>
      </w:r>
    </w:p>
    <w:p w:rsidR="003C2CC0" w:rsidRDefault="00D71428">
      <w:pPr>
        <w:pStyle w:val="afffffffffff8"/>
        <w:ind w:firstLineChars="200" w:firstLine="420"/>
        <w:rPr>
          <w:rFonts w:ascii="Times New Roman" w:eastAsia="黑体"/>
        </w:rPr>
      </w:pPr>
      <w:proofErr w:type="gramStart"/>
      <w:r>
        <w:rPr>
          <w:rFonts w:ascii="黑体" w:eastAsia="黑体" w:hAnsi="黑体" w:hint="eastAsia"/>
        </w:rPr>
        <w:t>源项调查</w:t>
      </w:r>
      <w:proofErr w:type="gramEnd"/>
      <w:r>
        <w:rPr>
          <w:rFonts w:ascii="黑体" w:eastAsia="黑体" w:hAnsi="黑体" w:hint="eastAsia"/>
        </w:rPr>
        <w:t xml:space="preserve"> </w:t>
      </w:r>
      <w:r>
        <w:rPr>
          <w:rFonts w:ascii="Times New Roman" w:eastAsia="黑体" w:hint="eastAsia"/>
        </w:rPr>
        <w:t>s</w:t>
      </w:r>
      <w:r>
        <w:rPr>
          <w:rFonts w:ascii="Times New Roman" w:eastAsia="黑体" w:hint="eastAsia"/>
        </w:rPr>
        <w:t>ource term investigation</w:t>
      </w:r>
    </w:p>
    <w:p w:rsidR="003C2CC0" w:rsidRDefault="00D71428">
      <w:pPr>
        <w:pStyle w:val="affff6"/>
        <w:ind w:firstLine="420"/>
      </w:pPr>
      <w:r>
        <w:rPr>
          <w:rFonts w:hint="eastAsia"/>
        </w:rPr>
        <w:t>退役或修复实施前，通过资料收集、现场监测等确定场地或设施内的放射性指标与非放射性指标存留量、分布情况等，明确退役实体边界以及退役活动与周边场地或区域内进行的其他活动的相互影响</w:t>
      </w:r>
      <w:r>
        <w:rPr>
          <w:rFonts w:hint="eastAsia"/>
        </w:rPr>
        <w:t>。</w:t>
      </w:r>
    </w:p>
    <w:p w:rsidR="003C2CC0" w:rsidRDefault="00D71428">
      <w:pPr>
        <w:pStyle w:val="afffffffffff8"/>
        <w:ind w:left="420" w:hangingChars="200" w:hanging="420"/>
        <w:rPr>
          <w:rFonts w:ascii="黑体" w:eastAsia="黑体" w:hAnsi="黑体"/>
        </w:rPr>
      </w:pPr>
      <w:r>
        <w:rPr>
          <w:rFonts w:ascii="黑体" w:eastAsia="黑体" w:hAnsi="黑体" w:hint="eastAsia"/>
        </w:rPr>
        <w:t>3.</w:t>
      </w:r>
      <w:r>
        <w:rPr>
          <w:rFonts w:ascii="黑体" w:eastAsia="黑体" w:hAnsi="黑体" w:hint="eastAsia"/>
        </w:rPr>
        <w:t>3</w:t>
      </w:r>
    </w:p>
    <w:p w:rsidR="003C2CC0" w:rsidRDefault="00D71428">
      <w:pPr>
        <w:pStyle w:val="afffffffffff8"/>
        <w:ind w:firstLineChars="200" w:firstLine="420"/>
        <w:rPr>
          <w:rFonts w:ascii="Times New Roman" w:eastAsia="黑体"/>
        </w:rPr>
      </w:pPr>
      <w:r>
        <w:rPr>
          <w:rFonts w:ascii="黑体" w:eastAsia="黑体" w:hAnsi="黑体" w:hint="eastAsia"/>
        </w:rPr>
        <w:t>特征因子</w:t>
      </w:r>
      <w:r>
        <w:rPr>
          <w:rFonts w:ascii="黑体" w:eastAsia="黑体" w:hAnsi="黑体" w:hint="eastAsia"/>
        </w:rPr>
        <w:t xml:space="preserve"> </w:t>
      </w:r>
      <w:r>
        <w:rPr>
          <w:rFonts w:ascii="Times New Roman" w:eastAsia="黑体" w:hint="eastAsia"/>
        </w:rPr>
        <w:t>characteristic factor</w:t>
      </w:r>
    </w:p>
    <w:p w:rsidR="003C2CC0" w:rsidRDefault="00D71428">
      <w:pPr>
        <w:pStyle w:val="affff6"/>
        <w:ind w:firstLine="420"/>
      </w:pPr>
      <w:r>
        <w:rPr>
          <w:rFonts w:hint="eastAsia"/>
        </w:rPr>
        <w:t>在地下水环境中其数量或浓度已达到对人体健康和生态环境具有实际或潜在不利影响的，需要进行修复和风险管控的关注指标。</w:t>
      </w:r>
    </w:p>
    <w:p w:rsidR="003C2CC0" w:rsidRDefault="00D71428">
      <w:pPr>
        <w:pStyle w:val="afffffffffff8"/>
        <w:ind w:left="420" w:hangingChars="200" w:hanging="420"/>
        <w:rPr>
          <w:rFonts w:ascii="黑体" w:eastAsia="黑体" w:hAnsi="黑体"/>
        </w:rPr>
      </w:pPr>
      <w:r>
        <w:rPr>
          <w:rFonts w:ascii="黑体" w:eastAsia="黑体" w:hAnsi="黑体" w:hint="eastAsia"/>
        </w:rPr>
        <w:t>3.</w:t>
      </w:r>
      <w:r>
        <w:rPr>
          <w:rFonts w:ascii="黑体" w:eastAsia="黑体" w:hAnsi="黑体" w:hint="eastAsia"/>
        </w:rPr>
        <w:t>4</w:t>
      </w:r>
    </w:p>
    <w:p w:rsidR="003C2CC0" w:rsidRDefault="00D71428">
      <w:pPr>
        <w:pStyle w:val="afffffffffff8"/>
        <w:ind w:firstLineChars="200" w:firstLine="420"/>
        <w:rPr>
          <w:rFonts w:ascii="黑体" w:eastAsia="黑体" w:hAnsi="黑体"/>
        </w:rPr>
      </w:pPr>
      <w:r>
        <w:rPr>
          <w:rFonts w:ascii="黑体" w:eastAsia="黑体" w:hAnsi="黑体" w:hint="eastAsia"/>
        </w:rPr>
        <w:t>地下水修复</w:t>
      </w:r>
      <w:r>
        <w:rPr>
          <w:rFonts w:ascii="黑体" w:eastAsia="黑体" w:hAnsi="黑体" w:hint="eastAsia"/>
        </w:rPr>
        <w:t xml:space="preserve"> </w:t>
      </w:r>
      <w:r>
        <w:rPr>
          <w:rFonts w:ascii="Times New Roman" w:eastAsia="黑体" w:hint="eastAsia"/>
        </w:rPr>
        <w:t>groundwater remediation</w:t>
      </w:r>
      <w:r>
        <w:rPr>
          <w:rFonts w:ascii="Times New Roman" w:eastAsia="黑体"/>
        </w:rPr>
        <w:t xml:space="preserve"> </w:t>
      </w:r>
    </w:p>
    <w:p w:rsidR="003C2CC0" w:rsidRDefault="00D71428">
      <w:pPr>
        <w:pStyle w:val="affff6"/>
        <w:ind w:firstLine="420"/>
      </w:pPr>
      <w:r>
        <w:rPr>
          <w:rFonts w:hint="eastAsia"/>
        </w:rPr>
        <w:t>采用物理、化学或生物的方法，降解、吸附、转移或阻隔地下水中的</w:t>
      </w:r>
      <w:r>
        <w:rPr>
          <w:rFonts w:hint="eastAsia"/>
        </w:rPr>
        <w:t>特征因子</w:t>
      </w:r>
      <w:r>
        <w:rPr>
          <w:rFonts w:hint="eastAsia"/>
        </w:rPr>
        <w:t>，将</w:t>
      </w:r>
      <w:r>
        <w:rPr>
          <w:rFonts w:hint="eastAsia"/>
        </w:rPr>
        <w:t>特征因子</w:t>
      </w:r>
      <w:r>
        <w:rPr>
          <w:rFonts w:hint="eastAsia"/>
        </w:rPr>
        <w:t>浓度降低</w:t>
      </w:r>
      <w:r>
        <w:rPr>
          <w:rFonts w:hint="eastAsia"/>
        </w:rPr>
        <w:t>到可接受水平，或阻断其</w:t>
      </w:r>
      <w:r>
        <w:rPr>
          <w:rFonts w:hint="eastAsia"/>
        </w:rPr>
        <w:t>暴露</w:t>
      </w:r>
      <w:r>
        <w:rPr>
          <w:rFonts w:hint="eastAsia"/>
        </w:rPr>
        <w:t>途径，满足相应的地下水环境功能或使用功能的过程。</w:t>
      </w:r>
    </w:p>
    <w:p w:rsidR="003C2CC0" w:rsidRDefault="00D71428">
      <w:pPr>
        <w:pStyle w:val="afffffffffff8"/>
        <w:rPr>
          <w:rFonts w:ascii="黑体" w:eastAsia="黑体" w:hAnsi="黑体"/>
        </w:rPr>
      </w:pPr>
      <w:r>
        <w:rPr>
          <w:rFonts w:ascii="黑体" w:eastAsia="黑体" w:hAnsi="黑体" w:hint="eastAsia"/>
        </w:rPr>
        <w:t>3.</w:t>
      </w:r>
      <w:r>
        <w:rPr>
          <w:rFonts w:ascii="黑体" w:eastAsia="黑体" w:hAnsi="黑体" w:hint="eastAsia"/>
        </w:rPr>
        <w:t>5</w:t>
      </w:r>
    </w:p>
    <w:p w:rsidR="003C2CC0" w:rsidRDefault="00D71428">
      <w:pPr>
        <w:pStyle w:val="afffffffffff8"/>
        <w:ind w:firstLineChars="200" w:firstLine="420"/>
        <w:rPr>
          <w:rFonts w:ascii="Times New Roman" w:eastAsia="黑体"/>
        </w:rPr>
      </w:pPr>
      <w:r>
        <w:rPr>
          <w:rFonts w:ascii="Times New Roman" w:eastAsia="黑体" w:hint="eastAsia"/>
        </w:rPr>
        <w:t>地下水修复目标</w:t>
      </w:r>
      <w:r>
        <w:rPr>
          <w:rFonts w:ascii="Times New Roman" w:eastAsia="黑体"/>
        </w:rPr>
        <w:t xml:space="preserve"> </w:t>
      </w:r>
      <w:r>
        <w:rPr>
          <w:rFonts w:ascii="Times New Roman" w:eastAsia="黑体" w:hint="eastAsia"/>
        </w:rPr>
        <w:t>groundwater remediation</w:t>
      </w:r>
      <w:r>
        <w:rPr>
          <w:rFonts w:ascii="Times New Roman" w:eastAsia="黑体" w:hint="eastAsia"/>
        </w:rPr>
        <w:t xml:space="preserve"> </w:t>
      </w:r>
      <w:r>
        <w:rPr>
          <w:rFonts w:ascii="Times New Roman" w:eastAsia="黑体" w:hint="eastAsia"/>
        </w:rPr>
        <w:t>targets</w:t>
      </w:r>
    </w:p>
    <w:p w:rsidR="003C2CC0" w:rsidRDefault="00D71428">
      <w:pPr>
        <w:pStyle w:val="affff6"/>
        <w:ind w:firstLine="420"/>
      </w:pPr>
      <w:r>
        <w:rPr>
          <w:rFonts w:hint="eastAsia"/>
        </w:rPr>
        <w:t>由地下水</w:t>
      </w:r>
      <w:r>
        <w:rPr>
          <w:rFonts w:hint="eastAsia"/>
        </w:rPr>
        <w:t>源项</w:t>
      </w:r>
      <w:r>
        <w:rPr>
          <w:rFonts w:hint="eastAsia"/>
        </w:rPr>
        <w:t>调查或风险评估确定的</w:t>
      </w:r>
      <w:r>
        <w:rPr>
          <w:rFonts w:hint="eastAsia"/>
        </w:rPr>
        <w:t>特征因子</w:t>
      </w:r>
      <w:r>
        <w:rPr>
          <w:rFonts w:hint="eastAsia"/>
        </w:rPr>
        <w:t>对人体健康和生态</w:t>
      </w:r>
      <w:r>
        <w:rPr>
          <w:rFonts w:hint="eastAsia"/>
        </w:rPr>
        <w:t>环境</w:t>
      </w:r>
      <w:r>
        <w:rPr>
          <w:rFonts w:hint="eastAsia"/>
        </w:rPr>
        <w:t>直接或潜在危害达到可接受水平的地下水修复</w:t>
      </w:r>
      <w:r>
        <w:rPr>
          <w:rFonts w:hint="eastAsia"/>
        </w:rPr>
        <w:t>终点</w:t>
      </w:r>
      <w:r>
        <w:rPr>
          <w:rFonts w:hint="eastAsia"/>
        </w:rPr>
        <w:t>。</w:t>
      </w:r>
    </w:p>
    <w:p w:rsidR="003C2CC0" w:rsidRDefault="00D71428">
      <w:pPr>
        <w:pStyle w:val="afffffffffff8"/>
        <w:rPr>
          <w:rFonts w:ascii="黑体" w:eastAsia="黑体" w:hAnsi="黑体"/>
        </w:rPr>
      </w:pPr>
      <w:r>
        <w:rPr>
          <w:rFonts w:ascii="黑体" w:eastAsia="黑体" w:hAnsi="黑体" w:hint="eastAsia"/>
        </w:rPr>
        <w:t>3.</w:t>
      </w:r>
      <w:r>
        <w:rPr>
          <w:rFonts w:ascii="黑体" w:eastAsia="黑体" w:hAnsi="黑体" w:hint="eastAsia"/>
        </w:rPr>
        <w:t>6</w:t>
      </w:r>
    </w:p>
    <w:p w:rsidR="003C2CC0" w:rsidRDefault="00D71428">
      <w:pPr>
        <w:pStyle w:val="afffffffffff8"/>
        <w:ind w:firstLineChars="200" w:firstLine="420"/>
        <w:rPr>
          <w:rFonts w:ascii="Times New Roman" w:eastAsia="黑体"/>
        </w:rPr>
      </w:pPr>
      <w:r>
        <w:rPr>
          <w:rFonts w:ascii="Times New Roman" w:eastAsia="黑体" w:hint="eastAsia"/>
        </w:rPr>
        <w:t>管控目标值</w:t>
      </w:r>
      <w:r>
        <w:rPr>
          <w:rFonts w:ascii="Times New Roman" w:eastAsia="黑体"/>
        </w:rPr>
        <w:t xml:space="preserve"> </w:t>
      </w:r>
      <w:r>
        <w:rPr>
          <w:rFonts w:ascii="Times New Roman" w:eastAsia="黑体" w:hint="eastAsia"/>
        </w:rPr>
        <w:t>c</w:t>
      </w:r>
      <w:r>
        <w:rPr>
          <w:rFonts w:ascii="Times New Roman" w:eastAsia="黑体" w:hint="eastAsia"/>
        </w:rPr>
        <w:t xml:space="preserve">ontrol target </w:t>
      </w:r>
      <w:r>
        <w:rPr>
          <w:rFonts w:ascii="Times New Roman" w:eastAsia="黑体" w:hint="eastAsia"/>
        </w:rPr>
        <w:t>v</w:t>
      </w:r>
      <w:r>
        <w:rPr>
          <w:rFonts w:ascii="Times New Roman" w:eastAsia="黑体" w:hint="eastAsia"/>
        </w:rPr>
        <w:t>alue</w:t>
      </w:r>
    </w:p>
    <w:p w:rsidR="003C2CC0" w:rsidRPr="00CC2D29" w:rsidRDefault="00D71428">
      <w:pPr>
        <w:pStyle w:val="affff6"/>
        <w:ind w:firstLine="420"/>
        <w:rPr>
          <w:rFonts w:ascii="Times New Roman" w:cs="宋体"/>
          <w:szCs w:val="21"/>
        </w:rPr>
      </w:pPr>
      <w:r>
        <w:rPr>
          <w:rFonts w:ascii="Times New Roman" w:cs="宋体" w:hint="eastAsia"/>
          <w:szCs w:val="21"/>
          <w:lang w:val="zh-CN"/>
        </w:rPr>
        <w:t>在合理可行的技术水平下</w:t>
      </w:r>
      <w:r w:rsidRPr="00CC2D29">
        <w:rPr>
          <w:rFonts w:ascii="Times New Roman" w:cs="宋体" w:hint="eastAsia"/>
          <w:szCs w:val="21"/>
        </w:rPr>
        <w:t>，</w:t>
      </w:r>
      <w:r>
        <w:rPr>
          <w:rFonts w:ascii="Times New Roman" w:cs="宋体" w:hint="eastAsia"/>
          <w:szCs w:val="21"/>
          <w:lang w:val="zh-CN"/>
        </w:rPr>
        <w:t>地下水修复无法满足修复目标值要求</w:t>
      </w:r>
      <w:r>
        <w:rPr>
          <w:rFonts w:ascii="Times New Roman" w:cs="宋体" w:hint="eastAsia"/>
          <w:szCs w:val="21"/>
        </w:rPr>
        <w:t>时</w:t>
      </w:r>
      <w:r w:rsidRPr="00CC2D29">
        <w:rPr>
          <w:rFonts w:ascii="Times New Roman" w:cs="宋体" w:hint="eastAsia"/>
          <w:szCs w:val="21"/>
        </w:rPr>
        <w:t>，</w:t>
      </w:r>
      <w:r>
        <w:rPr>
          <w:rFonts w:ascii="Times New Roman" w:cs="宋体" w:hint="eastAsia"/>
          <w:szCs w:val="21"/>
        </w:rPr>
        <w:t>根据环境</w:t>
      </w:r>
      <w:r>
        <w:rPr>
          <w:rFonts w:ascii="Times New Roman" w:cs="宋体" w:hint="eastAsia"/>
          <w:szCs w:val="21"/>
        </w:rPr>
        <w:t>管控</w:t>
      </w:r>
      <w:r>
        <w:rPr>
          <w:rFonts w:ascii="Times New Roman" w:cs="宋体" w:hint="eastAsia"/>
          <w:szCs w:val="21"/>
        </w:rPr>
        <w:t>条件，</w:t>
      </w:r>
      <w:r>
        <w:rPr>
          <w:rFonts w:ascii="Times New Roman" w:cs="宋体" w:hint="eastAsia"/>
          <w:szCs w:val="21"/>
        </w:rPr>
        <w:t>基于健康风险评估和环境风险论证提出</w:t>
      </w:r>
      <w:r>
        <w:rPr>
          <w:rFonts w:ascii="Times New Roman" w:cs="宋体" w:hint="eastAsia"/>
          <w:szCs w:val="21"/>
        </w:rPr>
        <w:t>的</w:t>
      </w:r>
      <w:r>
        <w:rPr>
          <w:rFonts w:ascii="Times New Roman" w:cs="宋体" w:hint="eastAsia"/>
          <w:szCs w:val="21"/>
        </w:rPr>
        <w:t>目标</w:t>
      </w:r>
      <w:r>
        <w:rPr>
          <w:rFonts w:ascii="Times New Roman" w:cs="宋体" w:hint="eastAsia"/>
          <w:szCs w:val="21"/>
          <w:lang w:val="zh-CN"/>
        </w:rPr>
        <w:t>值。</w:t>
      </w:r>
    </w:p>
    <w:p w:rsidR="003C2CC0" w:rsidRPr="00CC2D29" w:rsidRDefault="003C2CC0">
      <w:pPr>
        <w:pStyle w:val="affff6"/>
        <w:ind w:firstLine="420"/>
        <w:rPr>
          <w:rFonts w:ascii="Times New Roman" w:cs="宋体"/>
          <w:szCs w:val="21"/>
        </w:rPr>
      </w:pPr>
    </w:p>
    <w:p w:rsidR="003C2CC0" w:rsidRDefault="00D71428">
      <w:pPr>
        <w:pStyle w:val="afffffffffff8"/>
        <w:rPr>
          <w:rFonts w:ascii="黑体" w:eastAsia="黑体" w:hAnsi="黑体"/>
        </w:rPr>
      </w:pPr>
      <w:r>
        <w:rPr>
          <w:rFonts w:ascii="黑体" w:eastAsia="黑体" w:hAnsi="黑体" w:hint="eastAsia"/>
        </w:rPr>
        <w:lastRenderedPageBreak/>
        <w:t>3.</w:t>
      </w:r>
      <w:r>
        <w:rPr>
          <w:rFonts w:ascii="黑体" w:eastAsia="黑体" w:hAnsi="黑体" w:hint="eastAsia"/>
        </w:rPr>
        <w:t>7</w:t>
      </w:r>
    </w:p>
    <w:p w:rsidR="003C2CC0" w:rsidRDefault="00D71428">
      <w:pPr>
        <w:pStyle w:val="afffffffffff8"/>
        <w:ind w:firstLineChars="200" w:firstLine="420"/>
        <w:rPr>
          <w:rFonts w:ascii="Times New Roman"/>
          <w:szCs w:val="21"/>
        </w:rPr>
      </w:pPr>
      <w:r>
        <w:rPr>
          <w:rFonts w:ascii="Times New Roman" w:eastAsia="黑体" w:hint="eastAsia"/>
        </w:rPr>
        <w:t>代价利益优化阈值</w:t>
      </w:r>
      <w:r>
        <w:rPr>
          <w:rFonts w:ascii="Times New Roman" w:eastAsia="黑体"/>
        </w:rPr>
        <w:t xml:space="preserve"> </w:t>
      </w:r>
      <w:r>
        <w:rPr>
          <w:rFonts w:ascii="Times New Roman" w:eastAsia="黑体" w:hint="eastAsia"/>
        </w:rPr>
        <w:t xml:space="preserve">cost-benefit </w:t>
      </w:r>
      <w:r>
        <w:rPr>
          <w:rFonts w:ascii="Times New Roman" w:eastAsia="黑体" w:hint="eastAsia"/>
        </w:rPr>
        <w:t>optimization threshold</w:t>
      </w:r>
    </w:p>
    <w:p w:rsidR="003C2CC0" w:rsidRPr="00CC2D29" w:rsidRDefault="00D71428">
      <w:pPr>
        <w:pStyle w:val="affff6"/>
        <w:ind w:firstLine="420"/>
        <w:rPr>
          <w:rFonts w:ascii="Times New Roman" w:cs="宋体"/>
          <w:szCs w:val="21"/>
        </w:rPr>
      </w:pPr>
      <w:r>
        <w:rPr>
          <w:rFonts w:ascii="Times New Roman" w:hint="eastAsia"/>
          <w:szCs w:val="21"/>
        </w:rPr>
        <w:t>地下水修复进入拖尾期后</w:t>
      </w:r>
      <w:r w:rsidRPr="00CC2D29">
        <w:rPr>
          <w:rFonts w:ascii="Times New Roman" w:hint="eastAsia"/>
          <w:szCs w:val="21"/>
        </w:rPr>
        <w:t>，</w:t>
      </w:r>
      <w:r>
        <w:rPr>
          <w:rFonts w:ascii="Times New Roman" w:hint="eastAsia"/>
          <w:szCs w:val="21"/>
        </w:rPr>
        <w:t>在现有的技术水平、合理的时间和资金投入条件下，</w:t>
      </w:r>
      <w:r>
        <w:rPr>
          <w:rFonts w:ascii="Times New Roman" w:cs="宋体" w:hint="eastAsia"/>
          <w:szCs w:val="21"/>
        </w:rPr>
        <w:t>目标特征因子</w:t>
      </w:r>
      <w:r>
        <w:rPr>
          <w:rFonts w:ascii="Times New Roman" w:hint="eastAsia"/>
          <w:szCs w:val="21"/>
        </w:rPr>
        <w:t>难以达到管控目标值时，根据环境、技术、经济约束条件进行综合评估</w:t>
      </w:r>
      <w:r>
        <w:rPr>
          <w:rFonts w:ascii="Times New Roman" w:hint="eastAsia"/>
          <w:szCs w:val="21"/>
        </w:rPr>
        <w:t>得到的可接受水平</w:t>
      </w:r>
      <w:r>
        <w:rPr>
          <w:rFonts w:ascii="Times New Roman" w:hint="eastAsia"/>
          <w:szCs w:val="21"/>
        </w:rPr>
        <w:t>。</w:t>
      </w:r>
    </w:p>
    <w:p w:rsidR="003C2CC0" w:rsidRDefault="00D71428">
      <w:pPr>
        <w:pStyle w:val="affffffa"/>
        <w:numPr>
          <w:ilvl w:val="0"/>
          <w:numId w:val="30"/>
        </w:numPr>
        <w:spacing w:before="240" w:after="240"/>
        <w:ind w:left="0" w:firstLine="0"/>
        <w:rPr>
          <w:color w:val="000000" w:themeColor="text1"/>
        </w:rPr>
      </w:pPr>
      <w:bookmarkStart w:id="56" w:name="_Toc17899"/>
      <w:bookmarkStart w:id="57" w:name="_Toc32147"/>
      <w:r>
        <w:rPr>
          <w:rFonts w:hint="eastAsia"/>
          <w:color w:val="000000" w:themeColor="text1"/>
        </w:rPr>
        <w:t>基本</w:t>
      </w:r>
      <w:bookmarkEnd w:id="56"/>
      <w:r>
        <w:rPr>
          <w:rFonts w:hint="eastAsia"/>
          <w:color w:val="000000" w:themeColor="text1"/>
        </w:rPr>
        <w:t>要求</w:t>
      </w:r>
      <w:bookmarkEnd w:id="57"/>
    </w:p>
    <w:p w:rsidR="003C2CC0" w:rsidRDefault="00D71428">
      <w:pPr>
        <w:pStyle w:val="affffffb"/>
        <w:spacing w:before="120" w:after="120"/>
        <w:outlineLvl w:val="9"/>
        <w:rPr>
          <w:rFonts w:ascii="Times New Roman" w:eastAsia="宋体"/>
          <w:kern w:val="2"/>
        </w:rPr>
      </w:pPr>
      <w:bookmarkStart w:id="58" w:name="_Hlk170738514"/>
      <w:bookmarkStart w:id="59" w:name="_Hlk170823631"/>
      <w:r>
        <w:rPr>
          <w:rFonts w:hint="eastAsia"/>
          <w:color w:val="000000" w:themeColor="text1"/>
        </w:rPr>
        <w:t>4.</w:t>
      </w:r>
      <w:r>
        <w:rPr>
          <w:rFonts w:hint="eastAsia"/>
          <w:color w:val="000000" w:themeColor="text1"/>
        </w:rPr>
        <w:t>1</w:t>
      </w:r>
      <w:r>
        <w:rPr>
          <w:rFonts w:hint="eastAsia"/>
          <w:color w:val="000000" w:themeColor="text1"/>
        </w:rPr>
        <w:t xml:space="preserve"> </w:t>
      </w:r>
      <w:r>
        <w:rPr>
          <w:rFonts w:ascii="Times New Roman" w:eastAsia="宋体" w:hint="eastAsia"/>
          <w:kern w:val="2"/>
        </w:rPr>
        <w:t>结合“一矿</w:t>
      </w:r>
      <w:proofErr w:type="gramStart"/>
      <w:r>
        <w:rPr>
          <w:rFonts w:ascii="Times New Roman" w:eastAsia="宋体" w:hint="eastAsia"/>
          <w:kern w:val="2"/>
        </w:rPr>
        <w:t>一</w:t>
      </w:r>
      <w:proofErr w:type="gramEnd"/>
      <w:r>
        <w:rPr>
          <w:rFonts w:ascii="Times New Roman" w:eastAsia="宋体" w:hint="eastAsia"/>
          <w:kern w:val="2"/>
        </w:rPr>
        <w:t>策”原则，以井场或采区为基本开采</w:t>
      </w:r>
      <w:r>
        <w:rPr>
          <w:rFonts w:ascii="Times New Roman" w:eastAsia="宋体" w:hint="eastAsia"/>
          <w:kern w:val="2"/>
        </w:rPr>
        <w:t>区域单位分区分类施策</w:t>
      </w:r>
      <w:r>
        <w:rPr>
          <w:rFonts w:ascii="Times New Roman" w:eastAsia="宋体" w:hint="eastAsia"/>
          <w:kern w:val="2"/>
        </w:rPr>
        <w:t>，差异化、精准化确定地下水修复策略。</w:t>
      </w:r>
    </w:p>
    <w:p w:rsidR="003C2CC0" w:rsidRDefault="00D71428">
      <w:pPr>
        <w:pStyle w:val="affffffb"/>
        <w:spacing w:before="120" w:after="120"/>
        <w:outlineLvl w:val="9"/>
      </w:pPr>
      <w:r>
        <w:rPr>
          <w:rFonts w:hint="eastAsia"/>
          <w:color w:val="000000" w:themeColor="text1"/>
        </w:rPr>
        <w:t>4.</w:t>
      </w:r>
      <w:r>
        <w:rPr>
          <w:rFonts w:hint="eastAsia"/>
          <w:color w:val="000000" w:themeColor="text1"/>
        </w:rPr>
        <w:t xml:space="preserve">2 </w:t>
      </w:r>
      <w:r>
        <w:rPr>
          <w:rFonts w:ascii="Times New Roman" w:eastAsia="宋体" w:hint="eastAsia"/>
          <w:kern w:val="2"/>
        </w:rPr>
        <w:t>统筹开采工艺、特征因子、水文</w:t>
      </w:r>
      <w:r>
        <w:rPr>
          <w:rFonts w:ascii="Times New Roman" w:eastAsia="宋体" w:hint="eastAsia"/>
          <w:kern w:val="2"/>
        </w:rPr>
        <w:t>地质条件、</w:t>
      </w:r>
      <w:r>
        <w:rPr>
          <w:rFonts w:ascii="Times New Roman" w:eastAsia="宋体" w:hint="eastAsia"/>
          <w:kern w:val="2"/>
        </w:rPr>
        <w:t>使用功能、</w:t>
      </w:r>
      <w:r>
        <w:rPr>
          <w:rFonts w:ascii="Times New Roman" w:eastAsia="宋体" w:hint="eastAsia"/>
          <w:kern w:val="2"/>
        </w:rPr>
        <w:t>技术</w:t>
      </w:r>
      <w:r>
        <w:rPr>
          <w:rFonts w:ascii="Times New Roman" w:eastAsia="宋体" w:hint="eastAsia"/>
          <w:kern w:val="2"/>
        </w:rPr>
        <w:t>可行性</w:t>
      </w:r>
      <w:r>
        <w:rPr>
          <w:rFonts w:ascii="Times New Roman" w:hint="eastAsia"/>
          <w:kern w:val="2"/>
        </w:rPr>
        <w:t>，</w:t>
      </w:r>
      <w:r>
        <w:rPr>
          <w:rFonts w:ascii="Times New Roman" w:eastAsia="宋体" w:hint="eastAsia"/>
          <w:kern w:val="2"/>
        </w:rPr>
        <w:t>以及对人</w:t>
      </w:r>
      <w:r>
        <w:rPr>
          <w:rFonts w:ascii="Times New Roman" w:eastAsia="宋体" w:hint="eastAsia"/>
          <w:kern w:val="2"/>
        </w:rPr>
        <w:t>体</w:t>
      </w:r>
      <w:r>
        <w:rPr>
          <w:rFonts w:ascii="Times New Roman" w:eastAsia="宋体" w:hint="eastAsia"/>
          <w:kern w:val="2"/>
        </w:rPr>
        <w:t>健康和</w:t>
      </w:r>
      <w:r>
        <w:rPr>
          <w:rFonts w:ascii="Times New Roman" w:eastAsia="宋体" w:hint="eastAsia"/>
          <w:kern w:val="2"/>
        </w:rPr>
        <w:t>生态</w:t>
      </w:r>
      <w:r>
        <w:rPr>
          <w:rFonts w:ascii="Times New Roman" w:eastAsia="宋体" w:hint="eastAsia"/>
          <w:kern w:val="2"/>
        </w:rPr>
        <w:t>环境的影响，科学合理</w:t>
      </w:r>
      <w:r>
        <w:rPr>
          <w:rFonts w:ascii="Times New Roman" w:eastAsia="宋体" w:hint="eastAsia"/>
          <w:kern w:val="2"/>
        </w:rPr>
        <w:t>给出</w:t>
      </w:r>
      <w:r>
        <w:rPr>
          <w:rFonts w:ascii="Times New Roman" w:eastAsia="宋体" w:hint="eastAsia"/>
          <w:kern w:val="2"/>
        </w:rPr>
        <w:t>修复目标</w:t>
      </w:r>
      <w:r>
        <w:rPr>
          <w:rFonts w:ascii="Times New Roman" w:eastAsia="宋体" w:hint="eastAsia"/>
          <w:kern w:val="2"/>
        </w:rPr>
        <w:t>值或管控</w:t>
      </w:r>
      <w:r>
        <w:rPr>
          <w:rFonts w:ascii="Times New Roman" w:eastAsia="宋体" w:cs="宋体" w:hint="eastAsia"/>
          <w:szCs w:val="21"/>
        </w:rPr>
        <w:t>目标值。</w:t>
      </w:r>
    </w:p>
    <w:bookmarkEnd w:id="58"/>
    <w:bookmarkEnd w:id="59"/>
    <w:p w:rsidR="003C2CC0" w:rsidRDefault="00D71428">
      <w:pPr>
        <w:pStyle w:val="affffffb"/>
        <w:spacing w:before="120" w:after="120"/>
        <w:outlineLvl w:val="9"/>
        <w:rPr>
          <w:rFonts w:ascii="Times New Roman" w:eastAsia="宋体"/>
          <w:kern w:val="2"/>
        </w:rPr>
      </w:pPr>
      <w:r>
        <w:rPr>
          <w:rFonts w:hint="eastAsia"/>
          <w:color w:val="000000" w:themeColor="text1"/>
        </w:rPr>
        <w:t>4.</w:t>
      </w:r>
      <w:r>
        <w:rPr>
          <w:rFonts w:hint="eastAsia"/>
          <w:color w:val="000000" w:themeColor="text1"/>
        </w:rPr>
        <w:t xml:space="preserve">3 </w:t>
      </w:r>
      <w:r>
        <w:rPr>
          <w:rFonts w:ascii="Times New Roman" w:eastAsia="宋体" w:cs="宋体" w:hint="eastAsia"/>
          <w:szCs w:val="21"/>
        </w:rPr>
        <w:t>地下水本底水平</w:t>
      </w:r>
      <w:r>
        <w:rPr>
          <w:rFonts w:ascii="Times New Roman" w:eastAsia="宋体" w:cs="宋体" w:hint="eastAsia"/>
          <w:szCs w:val="21"/>
        </w:rPr>
        <w:t>高于</w:t>
      </w:r>
      <w:r>
        <w:rPr>
          <w:rFonts w:ascii="Times New Roman" w:eastAsia="宋体" w:hint="eastAsia"/>
          <w:kern w:val="2"/>
        </w:rPr>
        <w:t>地下水修复目标值</w:t>
      </w:r>
      <w:r>
        <w:rPr>
          <w:rFonts w:ascii="Times New Roman" w:eastAsia="宋体" w:cs="宋体" w:hint="eastAsia"/>
          <w:szCs w:val="21"/>
        </w:rPr>
        <w:t>时，</w:t>
      </w:r>
      <w:r>
        <w:rPr>
          <w:rFonts w:ascii="Times New Roman" w:eastAsia="宋体" w:cs="宋体" w:hint="eastAsia"/>
          <w:szCs w:val="21"/>
        </w:rPr>
        <w:t>应</w:t>
      </w:r>
      <w:r>
        <w:rPr>
          <w:rFonts w:ascii="Times New Roman" w:eastAsia="宋体" w:cs="宋体" w:hint="eastAsia"/>
          <w:szCs w:val="21"/>
        </w:rPr>
        <w:t>选择本底水平作为修复目标值</w:t>
      </w:r>
      <w:r>
        <w:rPr>
          <w:rFonts w:ascii="Times New Roman" w:eastAsia="宋体" w:hint="eastAsia"/>
          <w:kern w:val="2"/>
        </w:rPr>
        <w:t>。</w:t>
      </w:r>
    </w:p>
    <w:p w:rsidR="003C2CC0" w:rsidRDefault="00D71428">
      <w:pPr>
        <w:pStyle w:val="affffffb"/>
        <w:spacing w:before="120" w:after="120"/>
        <w:outlineLvl w:val="9"/>
        <w:rPr>
          <w:rFonts w:ascii="Times New Roman" w:eastAsia="宋体"/>
          <w:szCs w:val="21"/>
        </w:rPr>
      </w:pPr>
      <w:r>
        <w:rPr>
          <w:rFonts w:hint="eastAsia"/>
          <w:color w:val="000000" w:themeColor="text1"/>
        </w:rPr>
        <w:t>4.</w:t>
      </w:r>
      <w:r>
        <w:rPr>
          <w:rFonts w:hint="eastAsia"/>
          <w:color w:val="000000" w:themeColor="text1"/>
        </w:rPr>
        <w:t>4</w:t>
      </w:r>
      <w:r>
        <w:rPr>
          <w:rFonts w:hint="eastAsia"/>
          <w:color w:val="000000" w:themeColor="text1"/>
        </w:rPr>
        <w:t xml:space="preserve"> </w:t>
      </w:r>
      <w:r>
        <w:rPr>
          <w:rFonts w:ascii="Times New Roman" w:eastAsia="宋体" w:cs="宋体" w:hint="eastAsia"/>
          <w:szCs w:val="21"/>
        </w:rPr>
        <w:t>地下</w:t>
      </w:r>
      <w:r>
        <w:rPr>
          <w:rFonts w:ascii="Times New Roman" w:eastAsia="宋体"/>
          <w:szCs w:val="21"/>
        </w:rPr>
        <w:t>水无使用功能的，应充分利用环境自然恢复能力，进行自然衰减并开展</w:t>
      </w:r>
      <w:r>
        <w:rPr>
          <w:rFonts w:ascii="Times New Roman" w:eastAsia="宋体"/>
          <w:szCs w:val="21"/>
          <w:lang w:val="zh-CN"/>
        </w:rPr>
        <w:t>长期监测，</w:t>
      </w:r>
      <w:r>
        <w:rPr>
          <w:rFonts w:ascii="Times New Roman" w:eastAsia="宋体"/>
          <w:szCs w:val="21"/>
        </w:rPr>
        <w:t>直至达到</w:t>
      </w:r>
      <w:r>
        <w:rPr>
          <w:rFonts w:ascii="Times New Roman" w:eastAsia="宋体" w:hint="eastAsia"/>
          <w:szCs w:val="21"/>
        </w:rPr>
        <w:t>监管</w:t>
      </w:r>
      <w:r>
        <w:rPr>
          <w:rFonts w:ascii="Times New Roman" w:eastAsia="宋体"/>
          <w:szCs w:val="21"/>
        </w:rPr>
        <w:t>要求。</w:t>
      </w:r>
    </w:p>
    <w:p w:rsidR="003C2CC0" w:rsidRDefault="00D71428">
      <w:pPr>
        <w:pStyle w:val="affffffa"/>
        <w:numPr>
          <w:ilvl w:val="0"/>
          <w:numId w:val="30"/>
        </w:numPr>
        <w:spacing w:before="240" w:after="240"/>
        <w:ind w:left="0" w:firstLine="0"/>
        <w:rPr>
          <w:color w:val="000000" w:themeColor="text1"/>
        </w:rPr>
      </w:pPr>
      <w:bookmarkStart w:id="60" w:name="_Toc9661"/>
      <w:r>
        <w:rPr>
          <w:rFonts w:hint="eastAsia"/>
          <w:color w:val="000000" w:themeColor="text1"/>
        </w:rPr>
        <w:t>工作程序</w:t>
      </w:r>
      <w:bookmarkEnd w:id="60"/>
    </w:p>
    <w:p w:rsidR="003C2CC0" w:rsidRDefault="00D71428">
      <w:pPr>
        <w:pStyle w:val="affffffb"/>
        <w:spacing w:before="120" w:after="120"/>
        <w:outlineLvl w:val="9"/>
      </w:pPr>
      <w:bookmarkStart w:id="61" w:name="OLE_LINK2"/>
      <w:r>
        <w:rPr>
          <w:rFonts w:hint="eastAsia"/>
          <w:color w:val="000000" w:themeColor="text1"/>
        </w:rPr>
        <w:t>5</w:t>
      </w:r>
      <w:r>
        <w:rPr>
          <w:rFonts w:hint="eastAsia"/>
          <w:color w:val="000000" w:themeColor="text1"/>
        </w:rPr>
        <w:t>.</w:t>
      </w:r>
      <w:r>
        <w:rPr>
          <w:rFonts w:hint="eastAsia"/>
          <w:color w:val="000000" w:themeColor="text1"/>
        </w:rPr>
        <w:t xml:space="preserve">1 </w:t>
      </w:r>
      <w:r>
        <w:rPr>
          <w:rFonts w:ascii="Times New Roman" w:eastAsia="宋体" w:hint="eastAsia"/>
          <w:kern w:val="2"/>
        </w:rPr>
        <w:t>开展地下水本底调查、</w:t>
      </w:r>
      <w:proofErr w:type="gramStart"/>
      <w:r>
        <w:rPr>
          <w:rFonts w:ascii="Times New Roman" w:eastAsia="宋体"/>
          <w:kern w:val="2"/>
        </w:rPr>
        <w:t>源项调查</w:t>
      </w:r>
      <w:proofErr w:type="gramEnd"/>
      <w:r>
        <w:rPr>
          <w:rFonts w:ascii="Times New Roman" w:eastAsia="宋体" w:hint="eastAsia"/>
          <w:kern w:val="2"/>
        </w:rPr>
        <w:t>及使用功能调查，确定</w:t>
      </w:r>
      <w:r>
        <w:rPr>
          <w:rFonts w:ascii="Times New Roman" w:eastAsia="宋体"/>
          <w:kern w:val="2"/>
        </w:rPr>
        <w:t>地下水</w:t>
      </w:r>
      <w:r>
        <w:rPr>
          <w:rFonts w:ascii="Times New Roman" w:eastAsia="宋体" w:hint="eastAsia"/>
          <w:kern w:val="2"/>
        </w:rPr>
        <w:t>本底水平、</w:t>
      </w:r>
      <w:r>
        <w:rPr>
          <w:rFonts w:ascii="Times New Roman" w:eastAsia="宋体"/>
          <w:kern w:val="2"/>
        </w:rPr>
        <w:t>特征因子</w:t>
      </w:r>
      <w:r>
        <w:rPr>
          <w:rFonts w:ascii="Times New Roman" w:eastAsia="宋体" w:hint="eastAsia"/>
          <w:kern w:val="2"/>
        </w:rPr>
        <w:t>、修复范围及使用功能。</w:t>
      </w:r>
    </w:p>
    <w:p w:rsidR="003C2CC0" w:rsidRDefault="00D71428">
      <w:pPr>
        <w:pStyle w:val="affffffb"/>
        <w:spacing w:before="120" w:after="120"/>
        <w:outlineLvl w:val="9"/>
        <w:rPr>
          <w:rFonts w:ascii="Times New Roman" w:eastAsia="宋体"/>
          <w:kern w:val="2"/>
        </w:rPr>
      </w:pPr>
      <w:r>
        <w:rPr>
          <w:rFonts w:hint="eastAsia"/>
          <w:color w:val="000000" w:themeColor="text1"/>
        </w:rPr>
        <w:t>5</w:t>
      </w:r>
      <w:r>
        <w:rPr>
          <w:rFonts w:hint="eastAsia"/>
          <w:color w:val="000000" w:themeColor="text1"/>
        </w:rPr>
        <w:t>.</w:t>
      </w:r>
      <w:r>
        <w:rPr>
          <w:rFonts w:hint="eastAsia"/>
          <w:color w:val="000000" w:themeColor="text1"/>
        </w:rPr>
        <w:t xml:space="preserve">2 </w:t>
      </w:r>
      <w:r>
        <w:rPr>
          <w:rFonts w:ascii="Times New Roman" w:eastAsia="宋体"/>
          <w:kern w:val="2"/>
        </w:rPr>
        <w:t>根据地下水使用功能判定情况，分别给出地下水修复目标值。对于放射性特征因子，地下水使用功能涉及生活饮用水的，</w:t>
      </w:r>
      <w:r>
        <w:rPr>
          <w:rFonts w:ascii="Times New Roman" w:eastAsia="宋体" w:cs="宋体"/>
          <w:szCs w:val="21"/>
        </w:rPr>
        <w:t>执行</w:t>
      </w:r>
      <w:r>
        <w:rPr>
          <w:rFonts w:ascii="Times New Roman" w:eastAsia="宋体" w:cs="宋体"/>
          <w:szCs w:val="21"/>
        </w:rPr>
        <w:t>GB</w:t>
      </w:r>
      <w:r>
        <w:rPr>
          <w:rFonts w:ascii="Times New Roman" w:eastAsia="宋体" w:hint="eastAsia"/>
          <w:szCs w:val="21"/>
        </w:rPr>
        <w:t>5749</w:t>
      </w:r>
      <w:r>
        <w:rPr>
          <w:rFonts w:ascii="Times New Roman" w:eastAsia="宋体" w:cs="宋体"/>
          <w:szCs w:val="21"/>
        </w:rPr>
        <w:t>限值要求</w:t>
      </w:r>
      <w:r>
        <w:rPr>
          <w:rFonts w:ascii="Times New Roman" w:eastAsia="宋体"/>
          <w:kern w:val="2"/>
        </w:rPr>
        <w:t>；涉及工农业用水的，基于人体健康风险阈值，通过模型计算推导给出</w:t>
      </w:r>
      <w:r>
        <w:rPr>
          <w:rFonts w:ascii="Times New Roman" w:eastAsia="宋体"/>
          <w:kern w:val="2"/>
          <w:lang w:val="zh-CN"/>
        </w:rPr>
        <w:t>修复目标值。</w:t>
      </w:r>
      <w:r>
        <w:rPr>
          <w:rFonts w:ascii="Times New Roman" w:eastAsia="宋体"/>
          <w:kern w:val="2"/>
        </w:rPr>
        <w:t>对于非放射性特征因子，地下水使用功能涉及生活饮用水</w:t>
      </w:r>
      <w:r>
        <w:rPr>
          <w:rFonts w:ascii="Times New Roman" w:eastAsia="宋体" w:hint="eastAsia"/>
          <w:kern w:val="2"/>
        </w:rPr>
        <w:t>的，</w:t>
      </w:r>
      <w:r>
        <w:rPr>
          <w:rFonts w:ascii="Times New Roman" w:eastAsia="宋体" w:cs="宋体"/>
          <w:szCs w:val="21"/>
        </w:rPr>
        <w:t>执行</w:t>
      </w:r>
      <w:r>
        <w:rPr>
          <w:rFonts w:ascii="Times New Roman" w:eastAsia="宋体" w:cs="宋体"/>
          <w:szCs w:val="21"/>
        </w:rPr>
        <w:t>GB</w:t>
      </w:r>
      <w:r>
        <w:rPr>
          <w:rFonts w:ascii="Times New Roman" w:eastAsia="宋体" w:hint="eastAsia"/>
          <w:szCs w:val="21"/>
        </w:rPr>
        <w:t>5749</w:t>
      </w:r>
      <w:r>
        <w:rPr>
          <w:rFonts w:ascii="Times New Roman" w:eastAsia="宋体" w:cs="宋体"/>
          <w:szCs w:val="21"/>
        </w:rPr>
        <w:t>限值要求</w:t>
      </w:r>
      <w:r>
        <w:rPr>
          <w:rFonts w:ascii="Times New Roman" w:eastAsia="宋体"/>
          <w:kern w:val="2"/>
        </w:rPr>
        <w:t>；涉及工农业用水的，执行</w:t>
      </w:r>
      <w:r>
        <w:rPr>
          <w:rFonts w:ascii="Times New Roman" w:eastAsia="宋体"/>
          <w:kern w:val="2"/>
        </w:rPr>
        <w:t>GB/T14848</w:t>
      </w:r>
      <w:r>
        <w:rPr>
          <w:rFonts w:ascii="Times New Roman" w:eastAsia="宋体"/>
          <w:kern w:val="2"/>
        </w:rPr>
        <w:t>中</w:t>
      </w:r>
      <w:r>
        <w:rPr>
          <w:rFonts w:ascii="Times New Roman" w:eastAsia="宋体"/>
          <w:kern w:val="2"/>
        </w:rPr>
        <w:t>Ⅳ</w:t>
      </w:r>
      <w:r>
        <w:rPr>
          <w:rFonts w:ascii="Times New Roman" w:eastAsia="宋体"/>
          <w:kern w:val="2"/>
        </w:rPr>
        <w:t>类限值要求。</w:t>
      </w:r>
    </w:p>
    <w:p w:rsidR="003C2CC0" w:rsidRDefault="00D71428">
      <w:pPr>
        <w:pStyle w:val="affff6"/>
        <w:ind w:firstLineChars="0" w:firstLine="0"/>
        <w:rPr>
          <w:rFonts w:ascii="Times New Roman"/>
        </w:rPr>
      </w:pPr>
      <w:r>
        <w:rPr>
          <w:rFonts w:ascii="黑体" w:eastAsia="黑体" w:hint="eastAsia"/>
          <w:color w:val="000000" w:themeColor="text1"/>
        </w:rPr>
        <w:t>5</w:t>
      </w:r>
      <w:r>
        <w:rPr>
          <w:rFonts w:ascii="黑体" w:eastAsia="黑体" w:hint="eastAsia"/>
          <w:color w:val="000000" w:themeColor="text1"/>
        </w:rPr>
        <w:t>.</w:t>
      </w:r>
      <w:r>
        <w:rPr>
          <w:rFonts w:ascii="黑体" w:eastAsia="黑体" w:hint="eastAsia"/>
          <w:color w:val="000000" w:themeColor="text1"/>
        </w:rPr>
        <w:t>3</w:t>
      </w:r>
      <w:r>
        <w:rPr>
          <w:rFonts w:hint="eastAsia"/>
          <w:color w:val="000000" w:themeColor="text1"/>
        </w:rPr>
        <w:t xml:space="preserve"> </w:t>
      </w:r>
      <w:r>
        <w:rPr>
          <w:rFonts w:hint="eastAsia"/>
          <w:color w:val="000000" w:themeColor="text1"/>
        </w:rPr>
        <w:t>预测</w:t>
      </w:r>
      <w:r>
        <w:rPr>
          <w:rFonts w:ascii="Times New Roman"/>
          <w:lang w:val="zh-CN"/>
        </w:rPr>
        <w:t>地下水修复无法满足修复目标值要求</w:t>
      </w:r>
      <w:r>
        <w:rPr>
          <w:rFonts w:ascii="Times New Roman" w:hint="eastAsia"/>
        </w:rPr>
        <w:t>的，结合水文地质特征，</w:t>
      </w:r>
      <w:r>
        <w:rPr>
          <w:rFonts w:ascii="Times New Roman"/>
          <w:lang w:val="zh-CN"/>
        </w:rPr>
        <w:t>通过</w:t>
      </w:r>
      <w:r>
        <w:rPr>
          <w:rFonts w:ascii="Times New Roman" w:hint="eastAsia"/>
        </w:rPr>
        <w:t>溶质运移模型</w:t>
      </w:r>
      <w:r>
        <w:rPr>
          <w:rFonts w:ascii="Times New Roman"/>
        </w:rPr>
        <w:t>给出</w:t>
      </w:r>
      <w:r>
        <w:rPr>
          <w:rFonts w:ascii="Times New Roman"/>
          <w:lang w:val="zh-CN"/>
        </w:rPr>
        <w:t>地下水</w:t>
      </w:r>
      <w:r>
        <w:rPr>
          <w:rFonts w:ascii="Times New Roman"/>
        </w:rPr>
        <w:t>修复</w:t>
      </w:r>
      <w:r>
        <w:rPr>
          <w:rFonts w:ascii="Times New Roman" w:hint="eastAsia"/>
        </w:rPr>
        <w:t>管控</w:t>
      </w:r>
      <w:r>
        <w:rPr>
          <w:rFonts w:ascii="Times New Roman" w:hint="eastAsia"/>
          <w:lang w:val="zh-CN"/>
        </w:rPr>
        <w:t>目标值。</w:t>
      </w:r>
      <w:r>
        <w:rPr>
          <w:rFonts w:ascii="Times New Roman"/>
        </w:rPr>
        <w:t>地下水修复目标值确定工作程序图见</w:t>
      </w:r>
      <w:r>
        <w:rPr>
          <w:rFonts w:ascii="Times New Roman" w:hint="eastAsia"/>
        </w:rPr>
        <w:t>附录</w:t>
      </w:r>
      <w:r>
        <w:rPr>
          <w:rFonts w:ascii="Times New Roman" w:hint="eastAsia"/>
        </w:rPr>
        <w:t>A</w:t>
      </w:r>
      <w:r>
        <w:rPr>
          <w:rFonts w:ascii="Times New Roman"/>
        </w:rPr>
        <w:t>。</w:t>
      </w:r>
      <w:bookmarkEnd w:id="61"/>
    </w:p>
    <w:p w:rsidR="003C2CC0" w:rsidRDefault="00D71428">
      <w:pPr>
        <w:pStyle w:val="affffffa"/>
        <w:numPr>
          <w:ilvl w:val="0"/>
          <w:numId w:val="30"/>
        </w:numPr>
        <w:spacing w:before="240" w:after="240"/>
        <w:ind w:left="0" w:firstLine="0"/>
        <w:rPr>
          <w:color w:val="000000" w:themeColor="text1"/>
        </w:rPr>
      </w:pPr>
      <w:bookmarkStart w:id="62" w:name="_Toc11273"/>
      <w:bookmarkStart w:id="63" w:name="_Toc27471"/>
      <w:r>
        <w:rPr>
          <w:rFonts w:hAnsi="黑体" w:cs="黑体" w:hint="eastAsia"/>
          <w:szCs w:val="21"/>
        </w:rPr>
        <w:t>本底水平</w:t>
      </w:r>
      <w:bookmarkEnd w:id="62"/>
      <w:r>
        <w:rPr>
          <w:rFonts w:hAnsi="黑体" w:cs="黑体" w:hint="eastAsia"/>
          <w:szCs w:val="21"/>
        </w:rPr>
        <w:t>与使用</w:t>
      </w:r>
      <w:r>
        <w:rPr>
          <w:rFonts w:hAnsi="黑体" w:cs="黑体" w:hint="eastAsia"/>
          <w:szCs w:val="21"/>
        </w:rPr>
        <w:t>功能</w:t>
      </w:r>
      <w:bookmarkEnd w:id="63"/>
    </w:p>
    <w:p w:rsidR="003C2CC0" w:rsidRDefault="00D71428">
      <w:pPr>
        <w:pStyle w:val="affffffb"/>
        <w:spacing w:before="120" w:after="120"/>
        <w:outlineLvl w:val="9"/>
        <w:rPr>
          <w:color w:val="000000" w:themeColor="text1"/>
        </w:rPr>
      </w:pPr>
      <w:r>
        <w:rPr>
          <w:rFonts w:hint="eastAsia"/>
          <w:color w:val="000000" w:themeColor="text1"/>
        </w:rPr>
        <w:t xml:space="preserve">6.1 </w:t>
      </w:r>
      <w:r>
        <w:rPr>
          <w:rFonts w:hint="eastAsia"/>
          <w:color w:val="000000" w:themeColor="text1"/>
        </w:rPr>
        <w:t>本底水平确定</w:t>
      </w:r>
    </w:p>
    <w:p w:rsidR="003C2CC0" w:rsidRDefault="00D71428">
      <w:pPr>
        <w:pStyle w:val="affffe"/>
        <w:spacing w:before="120" w:after="120"/>
        <w:outlineLvl w:val="9"/>
        <w:rPr>
          <w:rFonts w:ascii="宋体" w:eastAsia="宋体" w:cs="宋体"/>
          <w:szCs w:val="21"/>
        </w:rPr>
      </w:pPr>
      <w:r>
        <w:rPr>
          <w:rFonts w:hint="eastAsia"/>
          <w:color w:val="000000" w:themeColor="text1"/>
        </w:rPr>
        <w:t>6</w:t>
      </w:r>
      <w:r>
        <w:rPr>
          <w:rFonts w:hint="eastAsia"/>
          <w:color w:val="000000" w:themeColor="text1"/>
        </w:rPr>
        <w:t xml:space="preserve">.1.1 </w:t>
      </w:r>
      <w:r>
        <w:rPr>
          <w:rFonts w:ascii="Times New Roman" w:eastAsia="宋体" w:hint="eastAsia"/>
          <w:szCs w:val="21"/>
        </w:rPr>
        <w:t>地下水</w:t>
      </w:r>
      <w:r>
        <w:rPr>
          <w:rFonts w:eastAsia="宋体" w:cs="宋体" w:hint="eastAsia"/>
          <w:szCs w:val="21"/>
        </w:rPr>
        <w:t>本底水平确定</w:t>
      </w:r>
      <w:r>
        <w:rPr>
          <w:rFonts w:ascii="Times New Roman" w:eastAsia="宋体" w:hint="eastAsia"/>
          <w:szCs w:val="21"/>
        </w:rPr>
        <w:t>范围应包括</w:t>
      </w:r>
      <w:r>
        <w:rPr>
          <w:rFonts w:eastAsia="宋体" w:cs="宋体" w:hint="eastAsia"/>
          <w:szCs w:val="21"/>
        </w:rPr>
        <w:t>含矿含水层及</w:t>
      </w:r>
      <w:r>
        <w:rPr>
          <w:rFonts w:ascii="Times New Roman" w:eastAsia="宋体" w:hint="eastAsia"/>
          <w:szCs w:val="21"/>
        </w:rPr>
        <w:t>受影响的含矿含水层上、下含水层</w:t>
      </w:r>
      <w:r>
        <w:rPr>
          <w:rFonts w:ascii="宋体" w:eastAsia="宋体" w:cs="宋体" w:hint="eastAsia"/>
          <w:szCs w:val="21"/>
        </w:rPr>
        <w:t>。</w:t>
      </w:r>
    </w:p>
    <w:p w:rsidR="003C2CC0" w:rsidRDefault="00D71428">
      <w:pPr>
        <w:pStyle w:val="affffffb"/>
        <w:spacing w:before="120" w:after="120"/>
        <w:outlineLvl w:val="9"/>
        <w:rPr>
          <w:rFonts w:ascii="Times New Roman" w:eastAsia="宋体" w:cs="宋体"/>
          <w:szCs w:val="21"/>
        </w:rPr>
      </w:pPr>
      <w:r>
        <w:rPr>
          <w:rFonts w:hint="eastAsia"/>
          <w:color w:val="000000" w:themeColor="text1"/>
        </w:rPr>
        <w:t>6</w:t>
      </w:r>
      <w:r>
        <w:rPr>
          <w:rFonts w:hint="eastAsia"/>
          <w:color w:val="000000" w:themeColor="text1"/>
        </w:rPr>
        <w:t>.</w:t>
      </w:r>
      <w:r>
        <w:rPr>
          <w:rFonts w:hint="eastAsia"/>
          <w:color w:val="000000" w:themeColor="text1"/>
        </w:rPr>
        <w:t>1</w:t>
      </w:r>
      <w:r>
        <w:rPr>
          <w:rFonts w:hint="eastAsia"/>
          <w:color w:val="000000" w:themeColor="text1"/>
        </w:rPr>
        <w:t>.</w:t>
      </w:r>
      <w:r>
        <w:rPr>
          <w:rFonts w:hint="eastAsia"/>
          <w:color w:val="000000" w:themeColor="text1"/>
        </w:rPr>
        <w:t>2</w:t>
      </w:r>
      <w:r>
        <w:rPr>
          <w:rFonts w:hint="eastAsia"/>
          <w:color w:val="000000" w:themeColor="text1"/>
        </w:rPr>
        <w:t xml:space="preserve"> </w:t>
      </w:r>
      <w:r>
        <w:rPr>
          <w:rFonts w:ascii="Times New Roman" w:eastAsia="宋体" w:cs="宋体" w:hint="eastAsia"/>
          <w:szCs w:val="21"/>
        </w:rPr>
        <w:t>本底</w:t>
      </w:r>
      <w:r>
        <w:rPr>
          <w:rFonts w:ascii="Times New Roman" w:eastAsia="宋体" w:cs="宋体" w:hint="eastAsia"/>
          <w:szCs w:val="21"/>
        </w:rPr>
        <w:t>水平</w:t>
      </w:r>
      <w:r>
        <w:rPr>
          <w:rFonts w:ascii="Times New Roman" w:eastAsia="宋体" w:cs="宋体" w:hint="eastAsia"/>
          <w:szCs w:val="21"/>
        </w:rPr>
        <w:t>确定以资料调查为主</w:t>
      </w:r>
      <w:r>
        <w:rPr>
          <w:rFonts w:ascii="Times New Roman" w:eastAsia="宋体" w:cs="宋体" w:hint="eastAsia"/>
          <w:szCs w:val="21"/>
        </w:rPr>
        <w:t>，</w:t>
      </w:r>
      <w:r>
        <w:rPr>
          <w:rFonts w:ascii="Times New Roman" w:eastAsia="宋体" w:cs="宋体" w:hint="eastAsia"/>
          <w:szCs w:val="21"/>
        </w:rPr>
        <w:t>收集</w:t>
      </w:r>
      <w:r>
        <w:rPr>
          <w:rFonts w:ascii="Times New Roman" w:eastAsia="宋体" w:cs="宋体" w:hint="eastAsia"/>
          <w:szCs w:val="21"/>
        </w:rPr>
        <w:t>地质勘查</w:t>
      </w:r>
      <w:r>
        <w:rPr>
          <w:rFonts w:ascii="Times New Roman" w:eastAsia="宋体" w:cs="宋体" w:hint="eastAsia"/>
          <w:szCs w:val="21"/>
        </w:rPr>
        <w:t>报告、</w:t>
      </w:r>
      <w:r>
        <w:rPr>
          <w:rFonts w:ascii="Times New Roman" w:eastAsia="宋体" w:cs="宋体" w:hint="eastAsia"/>
          <w:szCs w:val="21"/>
        </w:rPr>
        <w:t>环境影响评价文件</w:t>
      </w:r>
      <w:r>
        <w:rPr>
          <w:rFonts w:ascii="Times New Roman" w:eastAsia="宋体" w:cs="宋体" w:hint="eastAsia"/>
          <w:szCs w:val="21"/>
        </w:rPr>
        <w:t>、</w:t>
      </w:r>
      <w:r>
        <w:rPr>
          <w:rFonts w:ascii="Times New Roman" w:eastAsia="宋体" w:cs="宋体" w:hint="eastAsia"/>
          <w:szCs w:val="21"/>
        </w:rPr>
        <w:t>钻孔生产前监测数据、</w:t>
      </w:r>
      <w:r>
        <w:rPr>
          <w:rFonts w:ascii="Times New Roman" w:eastAsia="宋体" w:cs="宋体" w:hint="eastAsia"/>
          <w:szCs w:val="21"/>
        </w:rPr>
        <w:t>区域地下水本底</w:t>
      </w:r>
      <w:r>
        <w:rPr>
          <w:rFonts w:ascii="Times New Roman" w:eastAsia="宋体" w:cs="宋体" w:hint="eastAsia"/>
          <w:szCs w:val="21"/>
        </w:rPr>
        <w:t>水平调查报告</w:t>
      </w:r>
      <w:r>
        <w:rPr>
          <w:rFonts w:ascii="Times New Roman" w:eastAsia="宋体" w:cs="宋体" w:hint="eastAsia"/>
          <w:szCs w:val="21"/>
        </w:rPr>
        <w:t>等资料</w:t>
      </w:r>
      <w:r>
        <w:rPr>
          <w:rFonts w:ascii="Times New Roman" w:eastAsia="宋体" w:cs="宋体" w:hint="eastAsia"/>
          <w:szCs w:val="21"/>
        </w:rPr>
        <w:t>进行分析确定。</w:t>
      </w:r>
    </w:p>
    <w:p w:rsidR="003C2CC0" w:rsidRDefault="00D71428">
      <w:pPr>
        <w:pStyle w:val="affffffb"/>
        <w:spacing w:before="120" w:after="120"/>
        <w:outlineLvl w:val="9"/>
        <w:rPr>
          <w:rFonts w:ascii="Times New Roman" w:eastAsia="宋体" w:cs="宋体"/>
          <w:szCs w:val="21"/>
        </w:rPr>
      </w:pPr>
      <w:r>
        <w:rPr>
          <w:rFonts w:hint="eastAsia"/>
          <w:color w:val="000000" w:themeColor="text1"/>
        </w:rPr>
        <w:t>6</w:t>
      </w:r>
      <w:r>
        <w:rPr>
          <w:rFonts w:hint="eastAsia"/>
          <w:color w:val="000000" w:themeColor="text1"/>
        </w:rPr>
        <w:t>.</w:t>
      </w:r>
      <w:r>
        <w:rPr>
          <w:rFonts w:hint="eastAsia"/>
          <w:color w:val="000000" w:themeColor="text1"/>
        </w:rPr>
        <w:t>1.3</w:t>
      </w:r>
      <w:r>
        <w:rPr>
          <w:rFonts w:hint="eastAsia"/>
          <w:color w:val="000000" w:themeColor="text1"/>
        </w:rPr>
        <w:t xml:space="preserve"> </w:t>
      </w:r>
      <w:r>
        <w:rPr>
          <w:rFonts w:ascii="Times New Roman" w:eastAsia="宋体" w:cs="宋体" w:hint="eastAsia"/>
          <w:szCs w:val="21"/>
        </w:rPr>
        <w:t>本底水平数据</w:t>
      </w:r>
      <w:r>
        <w:rPr>
          <w:rFonts w:ascii="Times New Roman" w:eastAsia="宋体" w:cs="宋体" w:hint="eastAsia"/>
          <w:szCs w:val="21"/>
        </w:rPr>
        <w:t>缺失或</w:t>
      </w:r>
      <w:r>
        <w:rPr>
          <w:rFonts w:ascii="Times New Roman" w:eastAsia="宋体" w:cs="宋体" w:hint="eastAsia"/>
          <w:szCs w:val="21"/>
        </w:rPr>
        <w:t>已有</w:t>
      </w:r>
      <w:r>
        <w:rPr>
          <w:rFonts w:ascii="Times New Roman" w:eastAsia="宋体" w:cs="宋体" w:hint="eastAsia"/>
          <w:szCs w:val="21"/>
        </w:rPr>
        <w:t>数据不足以支撑本底</w:t>
      </w:r>
      <w:r>
        <w:rPr>
          <w:rFonts w:ascii="Times New Roman" w:eastAsia="宋体" w:cs="宋体" w:hint="eastAsia"/>
          <w:szCs w:val="21"/>
        </w:rPr>
        <w:t>水平</w:t>
      </w:r>
      <w:r>
        <w:rPr>
          <w:rFonts w:ascii="Times New Roman" w:eastAsia="宋体" w:cs="宋体" w:hint="eastAsia"/>
          <w:szCs w:val="21"/>
        </w:rPr>
        <w:t>确定</w:t>
      </w:r>
      <w:r>
        <w:rPr>
          <w:rFonts w:ascii="Times New Roman" w:eastAsia="宋体" w:cs="宋体" w:hint="eastAsia"/>
          <w:szCs w:val="21"/>
        </w:rPr>
        <w:t>的</w:t>
      </w:r>
      <w:r>
        <w:rPr>
          <w:rFonts w:ascii="Times New Roman" w:eastAsia="宋体" w:cs="宋体" w:hint="eastAsia"/>
          <w:szCs w:val="21"/>
        </w:rPr>
        <w:t>，应</w:t>
      </w:r>
      <w:r>
        <w:rPr>
          <w:rFonts w:ascii="Times New Roman" w:eastAsia="宋体" w:cs="宋体" w:hint="eastAsia"/>
          <w:szCs w:val="21"/>
        </w:rPr>
        <w:t>在水文地质单元识别的基础上，充分利用周围监测井监测数据进行辅助判断，必要时</w:t>
      </w:r>
      <w:r>
        <w:rPr>
          <w:rFonts w:ascii="Times New Roman" w:eastAsia="宋体" w:cs="宋体" w:hint="eastAsia"/>
          <w:szCs w:val="21"/>
        </w:rPr>
        <w:t>开展补充监测。</w:t>
      </w:r>
    </w:p>
    <w:p w:rsidR="003C2CC0" w:rsidRDefault="00D71428">
      <w:pPr>
        <w:pStyle w:val="affffffb"/>
        <w:spacing w:before="120" w:after="120"/>
        <w:outlineLvl w:val="9"/>
        <w:rPr>
          <w:color w:val="000000" w:themeColor="text1"/>
        </w:rPr>
      </w:pPr>
      <w:r>
        <w:rPr>
          <w:rFonts w:hint="eastAsia"/>
          <w:color w:val="000000" w:themeColor="text1"/>
        </w:rPr>
        <w:t xml:space="preserve">6.2 </w:t>
      </w:r>
      <w:r>
        <w:rPr>
          <w:rFonts w:hint="eastAsia"/>
          <w:color w:val="000000" w:themeColor="text1"/>
        </w:rPr>
        <w:t>使用功能划分</w:t>
      </w:r>
    </w:p>
    <w:p w:rsidR="003C2CC0" w:rsidRDefault="00D71428">
      <w:pPr>
        <w:pStyle w:val="affffe"/>
        <w:spacing w:before="120" w:after="120"/>
        <w:outlineLvl w:val="9"/>
        <w:rPr>
          <w:rFonts w:eastAsia="宋体" w:cs="宋体"/>
          <w:szCs w:val="21"/>
        </w:rPr>
      </w:pPr>
      <w:r>
        <w:rPr>
          <w:rFonts w:hint="eastAsia"/>
          <w:color w:val="000000" w:themeColor="text1"/>
        </w:rPr>
        <w:t>6</w:t>
      </w:r>
      <w:r>
        <w:rPr>
          <w:rFonts w:hint="eastAsia"/>
          <w:color w:val="000000" w:themeColor="text1"/>
        </w:rPr>
        <w:t>.</w:t>
      </w:r>
      <w:r>
        <w:rPr>
          <w:rFonts w:hint="eastAsia"/>
          <w:color w:val="000000" w:themeColor="text1"/>
        </w:rPr>
        <w:t>2</w:t>
      </w:r>
      <w:r>
        <w:rPr>
          <w:rFonts w:hint="eastAsia"/>
          <w:color w:val="000000" w:themeColor="text1"/>
        </w:rPr>
        <w:t xml:space="preserve">.1 </w:t>
      </w:r>
      <w:r>
        <w:rPr>
          <w:rFonts w:eastAsia="宋体" w:cs="宋体" w:hint="eastAsia"/>
          <w:szCs w:val="21"/>
        </w:rPr>
        <w:t>调查</w:t>
      </w:r>
      <w:r>
        <w:rPr>
          <w:rFonts w:ascii="Times New Roman" w:eastAsia="宋体" w:hint="eastAsia"/>
          <w:szCs w:val="21"/>
        </w:rPr>
        <w:t>原开采区域</w:t>
      </w:r>
      <w:r>
        <w:rPr>
          <w:rFonts w:eastAsia="宋体" w:cs="宋体" w:hint="eastAsia"/>
          <w:szCs w:val="21"/>
        </w:rPr>
        <w:t>及周边地下水使用现状和地下水资源规划，明确地下水使用现状和潜在用途。</w:t>
      </w:r>
    </w:p>
    <w:p w:rsidR="003C2CC0" w:rsidRDefault="00D71428">
      <w:pPr>
        <w:pStyle w:val="affffe"/>
        <w:spacing w:before="120" w:after="120"/>
        <w:outlineLvl w:val="9"/>
        <w:rPr>
          <w:rFonts w:ascii="Times New Roman"/>
        </w:rPr>
      </w:pPr>
      <w:r>
        <w:rPr>
          <w:rFonts w:hint="eastAsia"/>
          <w:color w:val="000000" w:themeColor="text1"/>
        </w:rPr>
        <w:t>6</w:t>
      </w:r>
      <w:r>
        <w:rPr>
          <w:rFonts w:hint="eastAsia"/>
          <w:color w:val="000000" w:themeColor="text1"/>
        </w:rPr>
        <w:t>.</w:t>
      </w:r>
      <w:r>
        <w:rPr>
          <w:rFonts w:hint="eastAsia"/>
          <w:color w:val="000000" w:themeColor="text1"/>
        </w:rPr>
        <w:t>2</w:t>
      </w:r>
      <w:r>
        <w:rPr>
          <w:rFonts w:hint="eastAsia"/>
          <w:color w:val="000000" w:themeColor="text1"/>
        </w:rPr>
        <w:t>.</w:t>
      </w:r>
      <w:r>
        <w:rPr>
          <w:rFonts w:hint="eastAsia"/>
          <w:color w:val="000000" w:themeColor="text1"/>
        </w:rPr>
        <w:t>2</w:t>
      </w:r>
      <w:r>
        <w:rPr>
          <w:rFonts w:hint="eastAsia"/>
          <w:color w:val="000000" w:themeColor="text1"/>
        </w:rPr>
        <w:t xml:space="preserve"> </w:t>
      </w:r>
      <w:r>
        <w:rPr>
          <w:rFonts w:eastAsia="宋体" w:cs="宋体" w:hint="eastAsia"/>
          <w:szCs w:val="21"/>
        </w:rPr>
        <w:t>结合使用现状、规划及潜在用途，将地下水使用功能划分为生活饮用水、</w:t>
      </w:r>
      <w:r>
        <w:rPr>
          <w:rFonts w:eastAsia="宋体" w:cs="宋体"/>
          <w:szCs w:val="21"/>
        </w:rPr>
        <w:t>工农业用水</w:t>
      </w:r>
      <w:r>
        <w:rPr>
          <w:rFonts w:eastAsia="宋体" w:cs="宋体" w:hint="eastAsia"/>
          <w:szCs w:val="21"/>
        </w:rPr>
        <w:t>、</w:t>
      </w:r>
      <w:r>
        <w:rPr>
          <w:rFonts w:eastAsia="宋体" w:cs="宋体"/>
          <w:szCs w:val="21"/>
        </w:rPr>
        <w:t>无使用功能</w:t>
      </w:r>
      <w:r>
        <w:rPr>
          <w:rFonts w:eastAsia="宋体" w:cs="宋体" w:hint="eastAsia"/>
          <w:szCs w:val="21"/>
        </w:rPr>
        <w:t>三类。</w:t>
      </w:r>
    </w:p>
    <w:p w:rsidR="003C2CC0" w:rsidRDefault="00D71428">
      <w:pPr>
        <w:pStyle w:val="affffffa"/>
        <w:numPr>
          <w:ilvl w:val="0"/>
          <w:numId w:val="30"/>
        </w:numPr>
        <w:spacing w:before="240" w:after="240"/>
        <w:ind w:left="0" w:firstLine="0"/>
        <w:rPr>
          <w:color w:val="000000" w:themeColor="text1"/>
        </w:rPr>
      </w:pPr>
      <w:bookmarkStart w:id="64" w:name="_Toc26388"/>
      <w:proofErr w:type="gramStart"/>
      <w:r>
        <w:rPr>
          <w:rFonts w:hAnsi="黑体" w:cs="黑体" w:hint="eastAsia"/>
          <w:szCs w:val="21"/>
        </w:rPr>
        <w:t>源项调查</w:t>
      </w:r>
      <w:bookmarkEnd w:id="64"/>
      <w:proofErr w:type="gramEnd"/>
    </w:p>
    <w:p w:rsidR="003C2CC0" w:rsidRDefault="00D71428">
      <w:pPr>
        <w:pStyle w:val="affffffb"/>
        <w:spacing w:before="120" w:after="120"/>
        <w:outlineLvl w:val="9"/>
        <w:rPr>
          <w:color w:val="000000" w:themeColor="text1"/>
        </w:rPr>
      </w:pPr>
      <w:r>
        <w:rPr>
          <w:rFonts w:hint="eastAsia"/>
          <w:color w:val="000000" w:themeColor="text1"/>
        </w:rPr>
        <w:t>7</w:t>
      </w:r>
      <w:r>
        <w:rPr>
          <w:rFonts w:hint="eastAsia"/>
          <w:color w:val="000000" w:themeColor="text1"/>
        </w:rPr>
        <w:t xml:space="preserve">.1 </w:t>
      </w:r>
      <w:r>
        <w:rPr>
          <w:rFonts w:ascii="Times New Roman" w:eastAsia="宋体" w:hint="eastAsia"/>
          <w:szCs w:val="21"/>
        </w:rPr>
        <w:t>地下水源项调查应利用原有生产井和监测井，调查范围包括原开采</w:t>
      </w:r>
      <w:r>
        <w:rPr>
          <w:rFonts w:ascii="Times New Roman" w:eastAsia="宋体" w:hint="eastAsia"/>
          <w:kern w:val="2"/>
        </w:rPr>
        <w:t>区域</w:t>
      </w:r>
      <w:r>
        <w:rPr>
          <w:rFonts w:ascii="Times New Roman" w:eastAsia="宋体" w:hint="eastAsia"/>
          <w:szCs w:val="21"/>
        </w:rPr>
        <w:t>边界内的含矿含水层区域及边界外</w:t>
      </w:r>
      <w:r>
        <w:rPr>
          <w:rFonts w:ascii="宋体" w:eastAsia="宋体" w:hint="eastAsia"/>
        </w:rPr>
        <w:t>延伸至监测井</w:t>
      </w:r>
      <w:r>
        <w:rPr>
          <w:rFonts w:ascii="Times New Roman" w:eastAsia="宋体" w:hint="eastAsia"/>
          <w:szCs w:val="21"/>
        </w:rPr>
        <w:t>的区域。含矿含水层的上、下含水层监测井（若有）也应</w:t>
      </w:r>
      <w:proofErr w:type="gramStart"/>
      <w:r>
        <w:rPr>
          <w:rFonts w:ascii="Times New Roman" w:eastAsia="宋体" w:hint="eastAsia"/>
          <w:szCs w:val="21"/>
        </w:rPr>
        <w:t>纳入</w:t>
      </w:r>
      <w:r>
        <w:rPr>
          <w:rFonts w:ascii="Times New Roman" w:eastAsia="宋体"/>
          <w:szCs w:val="21"/>
        </w:rPr>
        <w:t>源项调查</w:t>
      </w:r>
      <w:proofErr w:type="gramEnd"/>
      <w:r>
        <w:rPr>
          <w:rFonts w:ascii="Times New Roman" w:eastAsia="宋体" w:hint="eastAsia"/>
          <w:szCs w:val="21"/>
        </w:rPr>
        <w:t>范围</w:t>
      </w:r>
      <w:r>
        <w:rPr>
          <w:rFonts w:ascii="Times New Roman" w:eastAsia="宋体"/>
          <w:szCs w:val="21"/>
        </w:rPr>
        <w:t>。</w:t>
      </w:r>
    </w:p>
    <w:p w:rsidR="003C2CC0" w:rsidRDefault="00D71428">
      <w:pPr>
        <w:pStyle w:val="affffffb"/>
        <w:spacing w:before="120" w:after="120"/>
        <w:outlineLvl w:val="9"/>
        <w:rPr>
          <w:rFonts w:ascii="Times New Roman" w:eastAsia="宋体"/>
          <w:szCs w:val="21"/>
        </w:rPr>
      </w:pPr>
      <w:r>
        <w:rPr>
          <w:rFonts w:hint="eastAsia"/>
          <w:color w:val="000000" w:themeColor="text1"/>
        </w:rPr>
        <w:t>7</w:t>
      </w:r>
      <w:r>
        <w:rPr>
          <w:rFonts w:hint="eastAsia"/>
          <w:color w:val="000000" w:themeColor="text1"/>
        </w:rPr>
        <w:t>.</w:t>
      </w:r>
      <w:r>
        <w:rPr>
          <w:rFonts w:hint="eastAsia"/>
          <w:color w:val="000000" w:themeColor="text1"/>
        </w:rPr>
        <w:t>2</w:t>
      </w:r>
      <w:r>
        <w:rPr>
          <w:rFonts w:hint="eastAsia"/>
          <w:color w:val="000000" w:themeColor="text1"/>
        </w:rPr>
        <w:t xml:space="preserve"> </w:t>
      </w:r>
      <w:proofErr w:type="gramStart"/>
      <w:r>
        <w:rPr>
          <w:rFonts w:ascii="Times New Roman" w:eastAsia="宋体" w:hint="eastAsia"/>
          <w:szCs w:val="21"/>
        </w:rPr>
        <w:t>源项调查</w:t>
      </w:r>
      <w:proofErr w:type="gramEnd"/>
      <w:r>
        <w:rPr>
          <w:rFonts w:ascii="Times New Roman" w:eastAsia="宋体"/>
          <w:szCs w:val="21"/>
        </w:rPr>
        <w:t>应按照</w:t>
      </w:r>
      <w:r>
        <w:rPr>
          <w:rFonts w:ascii="Times New Roman" w:eastAsia="宋体"/>
          <w:szCs w:val="21"/>
        </w:rPr>
        <w:t>GB14586</w:t>
      </w:r>
      <w:r>
        <w:rPr>
          <w:rFonts w:ascii="Times New Roman" w:eastAsia="宋体"/>
          <w:szCs w:val="21"/>
        </w:rPr>
        <w:t>、</w:t>
      </w:r>
      <w:r>
        <w:rPr>
          <w:rFonts w:ascii="Times New Roman" w:eastAsia="宋体"/>
          <w:szCs w:val="21"/>
        </w:rPr>
        <w:t>GB23726</w:t>
      </w:r>
      <w:r>
        <w:rPr>
          <w:rFonts w:ascii="Times New Roman" w:eastAsia="宋体"/>
          <w:szCs w:val="21"/>
        </w:rPr>
        <w:t>、</w:t>
      </w:r>
      <w:r>
        <w:rPr>
          <w:rFonts w:ascii="Times New Roman" w:eastAsia="宋体"/>
          <w:szCs w:val="21"/>
        </w:rPr>
        <w:t>GB23727</w:t>
      </w:r>
      <w:r>
        <w:rPr>
          <w:rFonts w:ascii="Times New Roman" w:eastAsia="宋体" w:hint="eastAsia"/>
          <w:szCs w:val="21"/>
        </w:rPr>
        <w:t>、</w:t>
      </w:r>
      <w:r>
        <w:rPr>
          <w:rFonts w:ascii="Times New Roman" w:eastAsia="宋体"/>
          <w:szCs w:val="21"/>
        </w:rPr>
        <w:t>HJ1015.2</w:t>
      </w:r>
      <w:r>
        <w:rPr>
          <w:rFonts w:ascii="Times New Roman" w:eastAsia="宋体" w:hint="eastAsia"/>
          <w:szCs w:val="21"/>
        </w:rPr>
        <w:t>相关要求开展。</w:t>
      </w:r>
    </w:p>
    <w:p w:rsidR="003C2CC0" w:rsidRDefault="00D71428">
      <w:pPr>
        <w:pStyle w:val="affffffb"/>
        <w:spacing w:before="120" w:after="120"/>
        <w:outlineLvl w:val="9"/>
        <w:rPr>
          <w:rFonts w:ascii="Times New Roman" w:eastAsia="宋体"/>
          <w:szCs w:val="21"/>
        </w:rPr>
      </w:pPr>
      <w:r>
        <w:rPr>
          <w:rFonts w:hint="eastAsia"/>
          <w:color w:val="000000" w:themeColor="text1"/>
        </w:rPr>
        <w:lastRenderedPageBreak/>
        <w:t>7</w:t>
      </w:r>
      <w:r>
        <w:rPr>
          <w:rFonts w:hint="eastAsia"/>
          <w:color w:val="000000" w:themeColor="text1"/>
        </w:rPr>
        <w:t>.</w:t>
      </w:r>
      <w:r>
        <w:rPr>
          <w:rFonts w:hint="eastAsia"/>
          <w:color w:val="000000" w:themeColor="text1"/>
        </w:rPr>
        <w:t>3</w:t>
      </w:r>
      <w:r>
        <w:rPr>
          <w:rFonts w:hint="eastAsia"/>
          <w:color w:val="000000" w:themeColor="text1"/>
        </w:rPr>
        <w:t xml:space="preserve"> </w:t>
      </w:r>
      <w:r>
        <w:rPr>
          <w:rFonts w:ascii="Times New Roman" w:eastAsia="宋体" w:hint="eastAsia"/>
          <w:szCs w:val="21"/>
        </w:rPr>
        <w:t>调查生产</w:t>
      </w:r>
      <w:r>
        <w:rPr>
          <w:rFonts w:ascii="Times New Roman" w:eastAsia="宋体"/>
          <w:szCs w:val="21"/>
        </w:rPr>
        <w:t>井和监测</w:t>
      </w:r>
      <w:r>
        <w:rPr>
          <w:rFonts w:ascii="Times New Roman" w:eastAsia="宋体" w:hint="eastAsia"/>
          <w:szCs w:val="21"/>
        </w:rPr>
        <w:t>井数量及布置、孔径、过滤器长度及层位、水位埋深等主要特征参数；调查含矿含水层与上、下含水层的水力连接情况</w:t>
      </w:r>
      <w:r>
        <w:rPr>
          <w:rFonts w:ascii="Times New Roman" w:eastAsia="宋体"/>
          <w:szCs w:val="21"/>
        </w:rPr>
        <w:t>。</w:t>
      </w:r>
    </w:p>
    <w:p w:rsidR="003C2CC0" w:rsidRDefault="00D71428">
      <w:pPr>
        <w:pStyle w:val="affffffb"/>
        <w:spacing w:before="120" w:after="120"/>
        <w:outlineLvl w:val="9"/>
      </w:pPr>
      <w:r>
        <w:rPr>
          <w:rFonts w:hint="eastAsia"/>
          <w:color w:val="000000" w:themeColor="text1"/>
        </w:rPr>
        <w:t>7</w:t>
      </w:r>
      <w:r>
        <w:rPr>
          <w:rFonts w:hint="eastAsia"/>
          <w:color w:val="000000" w:themeColor="text1"/>
        </w:rPr>
        <w:t>.</w:t>
      </w:r>
      <w:r>
        <w:rPr>
          <w:rFonts w:hint="eastAsia"/>
          <w:color w:val="000000" w:themeColor="text1"/>
        </w:rPr>
        <w:t>4</w:t>
      </w:r>
      <w:r>
        <w:rPr>
          <w:rFonts w:hint="eastAsia"/>
          <w:color w:val="000000" w:themeColor="text1"/>
        </w:rPr>
        <w:t xml:space="preserve"> </w:t>
      </w:r>
      <w:r>
        <w:rPr>
          <w:rFonts w:ascii="Times New Roman" w:eastAsia="宋体" w:hint="eastAsia"/>
          <w:szCs w:val="21"/>
        </w:rPr>
        <w:t>收集生产井浸出液多因子监测数据（若有）及日常监测数据、</w:t>
      </w:r>
      <w:proofErr w:type="gramStart"/>
      <w:r>
        <w:rPr>
          <w:rFonts w:ascii="Times New Roman" w:eastAsia="宋体" w:hint="eastAsia"/>
          <w:szCs w:val="21"/>
        </w:rPr>
        <w:t>生产井停注浸出</w:t>
      </w:r>
      <w:proofErr w:type="gramEnd"/>
      <w:r>
        <w:rPr>
          <w:rFonts w:ascii="Times New Roman" w:eastAsia="宋体" w:hint="eastAsia"/>
          <w:szCs w:val="21"/>
        </w:rPr>
        <w:t>剂后日常监测数据、监测井日常监测数据等历史监测数据与其他相关资料，初步识别潜在特征因子类型。</w:t>
      </w:r>
    </w:p>
    <w:p w:rsidR="003C2CC0" w:rsidRDefault="00D71428">
      <w:pPr>
        <w:pStyle w:val="affffffb"/>
        <w:spacing w:before="120" w:after="120"/>
        <w:outlineLvl w:val="9"/>
        <w:rPr>
          <w:color w:val="000000" w:themeColor="text1"/>
        </w:rPr>
      </w:pPr>
      <w:r>
        <w:rPr>
          <w:rFonts w:hint="eastAsia"/>
          <w:color w:val="000000" w:themeColor="text1"/>
        </w:rPr>
        <w:t>7</w:t>
      </w:r>
      <w:r>
        <w:rPr>
          <w:rFonts w:hint="eastAsia"/>
          <w:color w:val="000000" w:themeColor="text1"/>
        </w:rPr>
        <w:t>.</w:t>
      </w:r>
      <w:r>
        <w:rPr>
          <w:rFonts w:hint="eastAsia"/>
          <w:color w:val="000000" w:themeColor="text1"/>
        </w:rPr>
        <w:t>5</w:t>
      </w:r>
      <w:r>
        <w:rPr>
          <w:rFonts w:hint="eastAsia"/>
          <w:color w:val="000000" w:themeColor="text1"/>
        </w:rPr>
        <w:t xml:space="preserve"> </w:t>
      </w:r>
      <w:proofErr w:type="gramStart"/>
      <w:r>
        <w:rPr>
          <w:rFonts w:ascii="Times New Roman" w:eastAsia="宋体" w:hint="eastAsia"/>
          <w:szCs w:val="21"/>
        </w:rPr>
        <w:t>制定源项调查</w:t>
      </w:r>
      <w:proofErr w:type="gramEnd"/>
      <w:r>
        <w:rPr>
          <w:rFonts w:ascii="Times New Roman" w:eastAsia="宋体" w:hint="eastAsia"/>
          <w:szCs w:val="21"/>
        </w:rPr>
        <w:t>监测方案，明确监测指标、监测点位和其他监测要求等，</w:t>
      </w:r>
      <w:r>
        <w:rPr>
          <w:rFonts w:ascii="Times New Roman" w:eastAsia="宋体"/>
          <w:szCs w:val="21"/>
        </w:rPr>
        <w:t>开展</w:t>
      </w:r>
      <w:r>
        <w:rPr>
          <w:rFonts w:ascii="Times New Roman" w:eastAsia="宋体" w:hint="eastAsia"/>
          <w:szCs w:val="21"/>
        </w:rPr>
        <w:t>现场监测与取</w:t>
      </w:r>
      <w:r>
        <w:rPr>
          <w:rFonts w:ascii="Times New Roman" w:eastAsia="宋体"/>
          <w:szCs w:val="21"/>
        </w:rPr>
        <w:t>样分析。</w:t>
      </w:r>
    </w:p>
    <w:p w:rsidR="003C2CC0" w:rsidRDefault="00D71428">
      <w:pPr>
        <w:pStyle w:val="affffffb"/>
        <w:spacing w:before="120" w:after="120"/>
        <w:outlineLvl w:val="9"/>
        <w:rPr>
          <w:rFonts w:ascii="Times New Roman" w:eastAsia="宋体"/>
          <w:szCs w:val="21"/>
        </w:rPr>
      </w:pPr>
      <w:r>
        <w:rPr>
          <w:rFonts w:hint="eastAsia"/>
          <w:color w:val="000000" w:themeColor="text1"/>
        </w:rPr>
        <w:t>7</w:t>
      </w:r>
      <w:r>
        <w:rPr>
          <w:rFonts w:hint="eastAsia"/>
          <w:color w:val="000000" w:themeColor="text1"/>
        </w:rPr>
        <w:t>.</w:t>
      </w:r>
      <w:r>
        <w:rPr>
          <w:rFonts w:hint="eastAsia"/>
          <w:color w:val="000000" w:themeColor="text1"/>
        </w:rPr>
        <w:t>6</w:t>
      </w:r>
      <w:r>
        <w:rPr>
          <w:rFonts w:hint="eastAsia"/>
          <w:color w:val="000000" w:themeColor="text1"/>
        </w:rPr>
        <w:t xml:space="preserve"> </w:t>
      </w:r>
      <w:r>
        <w:rPr>
          <w:rFonts w:ascii="Times New Roman" w:eastAsia="宋体" w:hint="eastAsia"/>
          <w:szCs w:val="21"/>
        </w:rPr>
        <w:t>监测点位应按照原开采区域面积均匀选取，同时考虑上下游位置关系，</w:t>
      </w:r>
      <w:r>
        <w:rPr>
          <w:rFonts w:ascii="Times New Roman" w:eastAsia="宋体"/>
          <w:szCs w:val="21"/>
        </w:rPr>
        <w:t>每个</w:t>
      </w:r>
      <w:r>
        <w:rPr>
          <w:rFonts w:ascii="Times New Roman" w:eastAsia="宋体" w:hint="eastAsia"/>
          <w:szCs w:val="21"/>
        </w:rPr>
        <w:t>区域选取</w:t>
      </w:r>
      <w:r>
        <w:rPr>
          <w:rFonts w:ascii="Times New Roman" w:eastAsia="宋体"/>
          <w:szCs w:val="21"/>
        </w:rPr>
        <w:t>至少</w:t>
      </w:r>
      <w:r>
        <w:rPr>
          <w:rFonts w:ascii="Times New Roman" w:eastAsia="宋体"/>
          <w:szCs w:val="21"/>
        </w:rPr>
        <w:t>10%</w:t>
      </w:r>
      <w:r>
        <w:rPr>
          <w:rFonts w:ascii="Times New Roman" w:eastAsia="宋体"/>
          <w:szCs w:val="21"/>
        </w:rPr>
        <w:t>的生产井</w:t>
      </w:r>
      <w:r>
        <w:rPr>
          <w:rFonts w:ascii="Times New Roman" w:eastAsia="宋体" w:hint="eastAsia"/>
          <w:szCs w:val="21"/>
        </w:rPr>
        <w:t>开展监测，</w:t>
      </w:r>
      <w:r>
        <w:rPr>
          <w:rFonts w:ascii="Times New Roman" w:eastAsia="宋体"/>
          <w:szCs w:val="21"/>
        </w:rPr>
        <w:t>在</w:t>
      </w:r>
      <w:r>
        <w:rPr>
          <w:rFonts w:ascii="Times New Roman" w:eastAsia="宋体" w:hint="eastAsia"/>
          <w:szCs w:val="21"/>
        </w:rPr>
        <w:t>潜在特征因子浓度较高</w:t>
      </w:r>
      <w:r>
        <w:rPr>
          <w:rFonts w:ascii="Times New Roman" w:eastAsia="宋体"/>
          <w:szCs w:val="21"/>
        </w:rPr>
        <w:t>区域加密布点；所有监测井</w:t>
      </w:r>
      <w:r>
        <w:rPr>
          <w:rFonts w:ascii="Times New Roman" w:eastAsia="宋体" w:hint="eastAsia"/>
          <w:szCs w:val="21"/>
        </w:rPr>
        <w:t>均应</w:t>
      </w:r>
      <w:proofErr w:type="gramStart"/>
      <w:r>
        <w:rPr>
          <w:rFonts w:ascii="Times New Roman" w:eastAsia="宋体" w:hint="eastAsia"/>
          <w:szCs w:val="21"/>
        </w:rPr>
        <w:t>纳入源项调查</w:t>
      </w:r>
      <w:proofErr w:type="gramEnd"/>
      <w:r>
        <w:rPr>
          <w:rFonts w:ascii="Times New Roman" w:eastAsia="宋体" w:hint="eastAsia"/>
          <w:szCs w:val="21"/>
        </w:rPr>
        <w:t>监测点位。</w:t>
      </w:r>
    </w:p>
    <w:p w:rsidR="003C2CC0" w:rsidRDefault="00D71428">
      <w:pPr>
        <w:pStyle w:val="affffffb"/>
        <w:spacing w:before="120" w:after="120"/>
        <w:outlineLvl w:val="9"/>
        <w:rPr>
          <w:rFonts w:ascii="Times New Roman" w:eastAsia="宋体"/>
          <w:szCs w:val="21"/>
        </w:rPr>
      </w:pPr>
      <w:r>
        <w:rPr>
          <w:rFonts w:hint="eastAsia"/>
          <w:color w:val="000000" w:themeColor="text1"/>
        </w:rPr>
        <w:t>7</w:t>
      </w:r>
      <w:r>
        <w:rPr>
          <w:rFonts w:hint="eastAsia"/>
          <w:color w:val="000000" w:themeColor="text1"/>
        </w:rPr>
        <w:t>.</w:t>
      </w:r>
      <w:r>
        <w:rPr>
          <w:rFonts w:hint="eastAsia"/>
          <w:color w:val="000000" w:themeColor="text1"/>
        </w:rPr>
        <w:t xml:space="preserve">7 </w:t>
      </w:r>
      <w:r>
        <w:rPr>
          <w:rFonts w:ascii="Times New Roman" w:eastAsia="宋体" w:hint="eastAsia"/>
          <w:szCs w:val="21"/>
        </w:rPr>
        <w:t>对于未开展过浸出液多因子监测的，</w:t>
      </w:r>
      <w:bookmarkStart w:id="65" w:name="OLE_LINK6"/>
      <w:r>
        <w:rPr>
          <w:rFonts w:ascii="Times New Roman" w:eastAsia="宋体" w:hint="eastAsia"/>
          <w:szCs w:val="21"/>
        </w:rPr>
        <w:t>在</w:t>
      </w:r>
      <w:proofErr w:type="gramStart"/>
      <w:r>
        <w:rPr>
          <w:rFonts w:ascii="Times New Roman" w:eastAsia="宋体" w:hint="eastAsia"/>
          <w:szCs w:val="21"/>
        </w:rPr>
        <w:t>纳入源项调查</w:t>
      </w:r>
      <w:proofErr w:type="gramEnd"/>
      <w:r>
        <w:rPr>
          <w:rFonts w:ascii="Times New Roman" w:eastAsia="宋体" w:hint="eastAsia"/>
          <w:szCs w:val="21"/>
        </w:rPr>
        <w:t>监测点位的生产井中，宜选取</w:t>
      </w:r>
      <w:r>
        <w:rPr>
          <w:rFonts w:ascii="Times New Roman" w:eastAsia="宋体"/>
          <w:szCs w:val="21"/>
        </w:rPr>
        <w:t>20%</w:t>
      </w:r>
      <w:r>
        <w:rPr>
          <w:rFonts w:ascii="Times New Roman" w:eastAsia="宋体" w:hint="eastAsia"/>
          <w:szCs w:val="21"/>
        </w:rPr>
        <w:t>的生产井开展地下水多因子监测分析；其余生产井及所有监测井开展潜在特征因子监测分析。</w:t>
      </w:r>
      <w:bookmarkEnd w:id="65"/>
    </w:p>
    <w:p w:rsidR="003C2CC0" w:rsidRDefault="00D71428">
      <w:pPr>
        <w:pStyle w:val="affffffa"/>
        <w:numPr>
          <w:ilvl w:val="0"/>
          <w:numId w:val="30"/>
        </w:numPr>
        <w:spacing w:before="240" w:after="240"/>
        <w:ind w:left="0" w:firstLine="0"/>
        <w:rPr>
          <w:color w:val="000000" w:themeColor="text1"/>
        </w:rPr>
      </w:pPr>
      <w:bookmarkStart w:id="66" w:name="_Toc6310"/>
      <w:bookmarkStart w:id="67" w:name="_Toc14920"/>
      <w:r>
        <w:rPr>
          <w:rFonts w:hAnsi="黑体" w:cs="黑体" w:hint="eastAsia"/>
          <w:szCs w:val="21"/>
        </w:rPr>
        <w:t>特征因子</w:t>
      </w:r>
      <w:bookmarkEnd w:id="66"/>
      <w:r>
        <w:rPr>
          <w:rFonts w:hAnsi="黑体" w:cs="黑体" w:hint="eastAsia"/>
          <w:szCs w:val="21"/>
        </w:rPr>
        <w:t>与修复范围</w:t>
      </w:r>
      <w:bookmarkEnd w:id="67"/>
    </w:p>
    <w:p w:rsidR="003C2CC0" w:rsidRDefault="00D71428">
      <w:pPr>
        <w:pStyle w:val="affffffb"/>
        <w:spacing w:before="120" w:after="120"/>
        <w:outlineLvl w:val="9"/>
        <w:rPr>
          <w:color w:val="000000" w:themeColor="text1"/>
        </w:rPr>
      </w:pPr>
      <w:r>
        <w:rPr>
          <w:rFonts w:hint="eastAsia"/>
          <w:color w:val="000000" w:themeColor="text1"/>
        </w:rPr>
        <w:t>8</w:t>
      </w:r>
      <w:r>
        <w:rPr>
          <w:rFonts w:hint="eastAsia"/>
          <w:color w:val="000000" w:themeColor="text1"/>
        </w:rPr>
        <w:t xml:space="preserve">.1 </w:t>
      </w:r>
      <w:r>
        <w:rPr>
          <w:rFonts w:hint="eastAsia"/>
          <w:color w:val="000000" w:themeColor="text1"/>
        </w:rPr>
        <w:t>特征因子筛选</w:t>
      </w:r>
    </w:p>
    <w:p w:rsidR="003C2CC0" w:rsidRDefault="00D71428">
      <w:pPr>
        <w:pStyle w:val="affffe"/>
        <w:spacing w:before="120" w:after="120"/>
        <w:outlineLvl w:val="9"/>
        <w:rPr>
          <w:rFonts w:ascii="Times New Roman" w:eastAsia="宋体"/>
          <w:szCs w:val="21"/>
        </w:rPr>
      </w:pPr>
      <w:r>
        <w:rPr>
          <w:rFonts w:hint="eastAsia"/>
          <w:color w:val="000000" w:themeColor="text1"/>
        </w:rPr>
        <w:t>8</w:t>
      </w:r>
      <w:r>
        <w:rPr>
          <w:rFonts w:hint="eastAsia"/>
          <w:color w:val="000000" w:themeColor="text1"/>
        </w:rPr>
        <w:t xml:space="preserve">.1.1 </w:t>
      </w:r>
      <w:r>
        <w:rPr>
          <w:rFonts w:ascii="Times New Roman" w:eastAsia="宋体"/>
          <w:szCs w:val="21"/>
        </w:rPr>
        <w:t>应结合</w:t>
      </w:r>
      <w:r>
        <w:rPr>
          <w:rFonts w:ascii="Times New Roman" w:eastAsia="宋体" w:hint="eastAsia"/>
          <w:szCs w:val="21"/>
        </w:rPr>
        <w:t>水文地质特征、</w:t>
      </w:r>
      <w:r>
        <w:rPr>
          <w:rFonts w:ascii="Times New Roman" w:eastAsia="宋体"/>
          <w:szCs w:val="21"/>
        </w:rPr>
        <w:t>本底水平、</w:t>
      </w:r>
      <w:proofErr w:type="gramStart"/>
      <w:r>
        <w:rPr>
          <w:rFonts w:ascii="Times New Roman" w:eastAsia="宋体"/>
          <w:szCs w:val="21"/>
        </w:rPr>
        <w:t>地浸采铀</w:t>
      </w:r>
      <w:proofErr w:type="gramEnd"/>
      <w:r>
        <w:rPr>
          <w:rFonts w:ascii="Times New Roman" w:eastAsia="宋体"/>
          <w:szCs w:val="21"/>
        </w:rPr>
        <w:t>工艺</w:t>
      </w:r>
      <w:r>
        <w:rPr>
          <w:rFonts w:ascii="Times New Roman" w:eastAsia="宋体" w:hint="eastAsia"/>
          <w:szCs w:val="21"/>
        </w:rPr>
        <w:t>、环境影响评价结论、</w:t>
      </w:r>
      <w:proofErr w:type="gramStart"/>
      <w:r>
        <w:rPr>
          <w:rFonts w:ascii="Times New Roman" w:eastAsia="宋体"/>
          <w:szCs w:val="21"/>
        </w:rPr>
        <w:t>源项调查</w:t>
      </w:r>
      <w:proofErr w:type="gramEnd"/>
      <w:r>
        <w:rPr>
          <w:rFonts w:ascii="Times New Roman" w:eastAsia="宋体"/>
          <w:szCs w:val="21"/>
        </w:rPr>
        <w:t>结果</w:t>
      </w:r>
      <w:r>
        <w:rPr>
          <w:rFonts w:ascii="Times New Roman" w:eastAsia="宋体" w:hint="eastAsia"/>
          <w:szCs w:val="21"/>
        </w:rPr>
        <w:t>和</w:t>
      </w:r>
      <w:r>
        <w:rPr>
          <w:rFonts w:ascii="Times New Roman" w:eastAsia="宋体"/>
          <w:szCs w:val="21"/>
        </w:rPr>
        <w:t>GB/T14848</w:t>
      </w:r>
      <w:r>
        <w:rPr>
          <w:rFonts w:ascii="Times New Roman" w:eastAsia="宋体" w:hint="eastAsia"/>
          <w:szCs w:val="21"/>
        </w:rPr>
        <w:t>相关要求，</w:t>
      </w:r>
      <w:r>
        <w:rPr>
          <w:rFonts w:ascii="Times New Roman" w:eastAsia="宋体"/>
          <w:szCs w:val="21"/>
        </w:rPr>
        <w:t>筛选确定地下水修复特征因子。</w:t>
      </w:r>
    </w:p>
    <w:p w:rsidR="003C2CC0" w:rsidRDefault="00D71428">
      <w:pPr>
        <w:pStyle w:val="affffe"/>
        <w:spacing w:before="120" w:after="120"/>
        <w:outlineLvl w:val="9"/>
        <w:rPr>
          <w:rFonts w:ascii="宋体" w:eastAsia="宋体" w:cs="宋体"/>
          <w:szCs w:val="21"/>
        </w:rPr>
      </w:pPr>
      <w:r>
        <w:rPr>
          <w:rFonts w:hint="eastAsia"/>
          <w:color w:val="000000" w:themeColor="text1"/>
        </w:rPr>
        <w:t>8</w:t>
      </w:r>
      <w:r>
        <w:rPr>
          <w:rFonts w:hint="eastAsia"/>
          <w:color w:val="000000" w:themeColor="text1"/>
        </w:rPr>
        <w:t>.</w:t>
      </w:r>
      <w:r>
        <w:rPr>
          <w:rFonts w:hint="eastAsia"/>
          <w:color w:val="000000" w:themeColor="text1"/>
        </w:rPr>
        <w:t>1</w:t>
      </w:r>
      <w:r>
        <w:rPr>
          <w:rFonts w:hint="eastAsia"/>
          <w:color w:val="000000" w:themeColor="text1"/>
        </w:rPr>
        <w:t>.</w:t>
      </w:r>
      <w:r>
        <w:rPr>
          <w:rFonts w:hint="eastAsia"/>
          <w:color w:val="000000" w:themeColor="text1"/>
        </w:rPr>
        <w:t>2</w:t>
      </w:r>
      <w:r>
        <w:rPr>
          <w:rFonts w:hint="eastAsia"/>
          <w:color w:val="000000" w:themeColor="text1"/>
        </w:rPr>
        <w:t xml:space="preserve"> </w:t>
      </w:r>
      <w:r>
        <w:rPr>
          <w:rFonts w:eastAsia="宋体" w:cs="宋体" w:hint="eastAsia"/>
          <w:szCs w:val="21"/>
        </w:rPr>
        <w:t>地下水修复放射性</w:t>
      </w:r>
      <w:r>
        <w:rPr>
          <w:rFonts w:ascii="Times New Roman" w:eastAsia="宋体" w:cs="宋体"/>
          <w:szCs w:val="21"/>
        </w:rPr>
        <w:t>特征因子</w:t>
      </w:r>
      <w:r>
        <w:rPr>
          <w:rFonts w:ascii="Times New Roman" w:eastAsia="宋体" w:cs="宋体" w:hint="eastAsia"/>
          <w:szCs w:val="21"/>
        </w:rPr>
        <w:t>包括铀</w:t>
      </w:r>
      <w:r>
        <w:rPr>
          <w:rFonts w:ascii="Times New Roman" w:eastAsia="宋体" w:cs="宋体"/>
          <w:szCs w:val="21"/>
        </w:rPr>
        <w:t>、</w:t>
      </w:r>
      <w:r>
        <w:rPr>
          <w:rFonts w:ascii="Times New Roman" w:eastAsia="宋体" w:hint="eastAsia"/>
          <w:szCs w:val="21"/>
        </w:rPr>
        <w:t>镭</w:t>
      </w:r>
      <w:r>
        <w:rPr>
          <w:rFonts w:ascii="Times New Roman" w:eastAsia="宋体" w:hint="eastAsia"/>
          <w:szCs w:val="21"/>
        </w:rPr>
        <w:t>-226</w:t>
      </w:r>
      <w:r>
        <w:rPr>
          <w:rFonts w:ascii="Times New Roman" w:eastAsia="宋体" w:hint="eastAsia"/>
          <w:szCs w:val="21"/>
        </w:rPr>
        <w:t>、钍</w:t>
      </w:r>
      <w:r>
        <w:rPr>
          <w:rFonts w:ascii="Times New Roman" w:eastAsia="宋体" w:hint="eastAsia"/>
          <w:szCs w:val="21"/>
        </w:rPr>
        <w:t>-230</w:t>
      </w:r>
      <w:r>
        <w:rPr>
          <w:rFonts w:ascii="Times New Roman" w:eastAsia="宋体" w:hint="eastAsia"/>
          <w:szCs w:val="21"/>
        </w:rPr>
        <w:t>、铅</w:t>
      </w:r>
      <w:r>
        <w:rPr>
          <w:rFonts w:ascii="Times New Roman" w:eastAsia="宋体" w:hint="eastAsia"/>
          <w:szCs w:val="21"/>
        </w:rPr>
        <w:t>-210</w:t>
      </w:r>
      <w:r>
        <w:rPr>
          <w:rFonts w:ascii="Times New Roman" w:eastAsia="宋体" w:hint="eastAsia"/>
          <w:szCs w:val="21"/>
        </w:rPr>
        <w:t>、</w:t>
      </w:r>
      <w:proofErr w:type="gramStart"/>
      <w:r>
        <w:rPr>
          <w:rFonts w:ascii="Times New Roman" w:eastAsia="宋体" w:hint="eastAsia"/>
          <w:szCs w:val="21"/>
        </w:rPr>
        <w:t>钋</w:t>
      </w:r>
      <w:proofErr w:type="gramEnd"/>
      <w:r>
        <w:rPr>
          <w:rFonts w:ascii="Times New Roman" w:eastAsia="宋体" w:hint="eastAsia"/>
          <w:szCs w:val="21"/>
        </w:rPr>
        <w:t>-210</w:t>
      </w:r>
      <w:r>
        <w:rPr>
          <w:rFonts w:ascii="Times New Roman" w:eastAsia="宋体" w:hint="eastAsia"/>
          <w:szCs w:val="21"/>
        </w:rPr>
        <w:t>，应关注</w:t>
      </w:r>
      <w:r>
        <w:rPr>
          <w:rFonts w:ascii="Times New Roman" w:eastAsia="宋体" w:hint="eastAsia"/>
          <w:szCs w:val="21"/>
        </w:rPr>
        <w:t>铀</w:t>
      </w:r>
      <w:r>
        <w:rPr>
          <w:rFonts w:ascii="Times New Roman" w:eastAsia="宋体"/>
          <w:szCs w:val="21"/>
        </w:rPr>
        <w:t>、</w:t>
      </w:r>
      <w:r>
        <w:rPr>
          <w:rFonts w:ascii="Times New Roman" w:eastAsia="宋体" w:hint="eastAsia"/>
          <w:szCs w:val="21"/>
        </w:rPr>
        <w:t>镭</w:t>
      </w:r>
      <w:r>
        <w:rPr>
          <w:rFonts w:ascii="Times New Roman" w:eastAsia="宋体" w:hint="eastAsia"/>
          <w:szCs w:val="21"/>
        </w:rPr>
        <w:t>-226</w:t>
      </w:r>
      <w:r>
        <w:rPr>
          <w:rFonts w:ascii="Times New Roman" w:eastAsia="宋体" w:hint="eastAsia"/>
          <w:szCs w:val="21"/>
        </w:rPr>
        <w:t>。</w:t>
      </w:r>
    </w:p>
    <w:p w:rsidR="003C2CC0" w:rsidRDefault="00D71428">
      <w:pPr>
        <w:pStyle w:val="affffe"/>
        <w:spacing w:before="120" w:after="120"/>
        <w:outlineLvl w:val="9"/>
      </w:pPr>
      <w:r>
        <w:rPr>
          <w:rFonts w:hint="eastAsia"/>
          <w:color w:val="000000" w:themeColor="text1"/>
        </w:rPr>
        <w:t>8</w:t>
      </w:r>
      <w:r>
        <w:rPr>
          <w:rFonts w:hint="eastAsia"/>
          <w:color w:val="000000" w:themeColor="text1"/>
        </w:rPr>
        <w:t>.</w:t>
      </w:r>
      <w:r>
        <w:rPr>
          <w:rFonts w:hint="eastAsia"/>
          <w:color w:val="000000" w:themeColor="text1"/>
        </w:rPr>
        <w:t>1</w:t>
      </w:r>
      <w:r>
        <w:rPr>
          <w:rFonts w:hint="eastAsia"/>
          <w:color w:val="000000" w:themeColor="text1"/>
        </w:rPr>
        <w:t>.</w:t>
      </w:r>
      <w:r>
        <w:rPr>
          <w:rFonts w:hint="eastAsia"/>
          <w:color w:val="000000" w:themeColor="text1"/>
        </w:rPr>
        <w:t xml:space="preserve">3 </w:t>
      </w:r>
      <w:r>
        <w:rPr>
          <w:rFonts w:ascii="Times New Roman" w:eastAsia="宋体" w:cs="宋体" w:hint="eastAsia"/>
          <w:szCs w:val="21"/>
        </w:rPr>
        <w:t>地下水</w:t>
      </w:r>
      <w:proofErr w:type="gramStart"/>
      <w:r>
        <w:rPr>
          <w:rFonts w:ascii="Times New Roman" w:eastAsia="宋体" w:cs="宋体" w:hint="eastAsia"/>
          <w:szCs w:val="21"/>
        </w:rPr>
        <w:t>修复</w:t>
      </w:r>
      <w:r>
        <w:rPr>
          <w:rFonts w:ascii="Times New Roman" w:eastAsia="宋体" w:cs="宋体"/>
          <w:szCs w:val="21"/>
        </w:rPr>
        <w:t>非</w:t>
      </w:r>
      <w:proofErr w:type="gramEnd"/>
      <w:r>
        <w:rPr>
          <w:rFonts w:ascii="Times New Roman" w:eastAsia="宋体" w:cs="宋体"/>
          <w:szCs w:val="21"/>
        </w:rPr>
        <w:t>放射性</w:t>
      </w:r>
      <w:r>
        <w:rPr>
          <w:rFonts w:ascii="Times New Roman" w:eastAsia="宋体" w:cs="宋体"/>
          <w:szCs w:val="21"/>
        </w:rPr>
        <w:t>特征因子</w:t>
      </w:r>
      <w:r>
        <w:rPr>
          <w:rFonts w:ascii="Times New Roman" w:eastAsia="宋体" w:cs="宋体" w:hint="eastAsia"/>
          <w:szCs w:val="21"/>
        </w:rPr>
        <w:t>的筛选，</w:t>
      </w:r>
      <w:r>
        <w:rPr>
          <w:rFonts w:ascii="Times New Roman" w:eastAsia="宋体" w:cs="宋体"/>
          <w:szCs w:val="21"/>
        </w:rPr>
        <w:t>中性浸出应关注硫酸盐、氯化物、硒等</w:t>
      </w:r>
      <w:r>
        <w:rPr>
          <w:rFonts w:ascii="Times New Roman" w:eastAsia="宋体" w:cs="宋体" w:hint="eastAsia"/>
          <w:szCs w:val="21"/>
        </w:rPr>
        <w:t>；</w:t>
      </w:r>
      <w:r>
        <w:rPr>
          <w:rFonts w:ascii="Times New Roman" w:eastAsia="宋体" w:cs="宋体" w:hint="eastAsia"/>
          <w:szCs w:val="21"/>
        </w:rPr>
        <w:t>酸法浸出应关注</w:t>
      </w:r>
      <w:r>
        <w:rPr>
          <w:rFonts w:ascii="Times New Roman" w:eastAsia="宋体" w:cs="宋体" w:hint="eastAsia"/>
          <w:szCs w:val="21"/>
        </w:rPr>
        <w:t>pH</w:t>
      </w:r>
      <w:r>
        <w:rPr>
          <w:rFonts w:ascii="Times New Roman" w:eastAsia="宋体" w:cs="宋体" w:hint="eastAsia"/>
          <w:szCs w:val="21"/>
        </w:rPr>
        <w:t>、硫酸盐</w:t>
      </w:r>
      <w:r>
        <w:rPr>
          <w:rFonts w:ascii="Times New Roman" w:eastAsia="宋体" w:cs="宋体" w:hint="eastAsia"/>
          <w:szCs w:val="21"/>
        </w:rPr>
        <w:t>、</w:t>
      </w:r>
      <w:r>
        <w:rPr>
          <w:rFonts w:ascii="Times New Roman" w:eastAsia="宋体" w:cs="宋体" w:hint="eastAsia"/>
          <w:szCs w:val="21"/>
        </w:rPr>
        <w:t>铁、锰、铝、氨氮</w:t>
      </w:r>
      <w:r>
        <w:rPr>
          <w:rFonts w:ascii="Times New Roman" w:eastAsia="宋体" w:cs="宋体" w:hint="eastAsia"/>
          <w:szCs w:val="21"/>
        </w:rPr>
        <w:t>（以</w:t>
      </w:r>
      <w:r>
        <w:rPr>
          <w:rFonts w:ascii="Times New Roman" w:eastAsia="宋体" w:cs="宋体" w:hint="eastAsia"/>
          <w:szCs w:val="21"/>
        </w:rPr>
        <w:t>N</w:t>
      </w:r>
      <w:r>
        <w:rPr>
          <w:rFonts w:ascii="Times New Roman" w:eastAsia="宋体" w:cs="宋体" w:hint="eastAsia"/>
          <w:szCs w:val="21"/>
        </w:rPr>
        <w:t>计）</w:t>
      </w:r>
      <w:r>
        <w:rPr>
          <w:rFonts w:ascii="Times New Roman" w:eastAsia="宋体" w:cs="宋体" w:hint="eastAsia"/>
          <w:szCs w:val="21"/>
        </w:rPr>
        <w:t>、</w:t>
      </w:r>
      <w:r>
        <w:rPr>
          <w:rFonts w:ascii="Times New Roman" w:eastAsia="宋体" w:cs="宋体" w:hint="eastAsia"/>
          <w:szCs w:val="21"/>
        </w:rPr>
        <w:t>硝酸盐（以</w:t>
      </w:r>
      <w:r>
        <w:rPr>
          <w:rFonts w:ascii="Times New Roman" w:eastAsia="宋体" w:cs="宋体" w:hint="eastAsia"/>
          <w:szCs w:val="21"/>
        </w:rPr>
        <w:t>N</w:t>
      </w:r>
      <w:r>
        <w:rPr>
          <w:rFonts w:ascii="Times New Roman" w:eastAsia="宋体" w:cs="宋体" w:hint="eastAsia"/>
          <w:szCs w:val="21"/>
        </w:rPr>
        <w:t>计）、氟</w:t>
      </w:r>
      <w:r>
        <w:rPr>
          <w:rFonts w:ascii="Times New Roman" w:eastAsia="宋体" w:cs="宋体" w:hint="eastAsia"/>
          <w:szCs w:val="21"/>
        </w:rPr>
        <w:t>化物、砷、镉、铬等。</w:t>
      </w:r>
    </w:p>
    <w:p w:rsidR="003C2CC0" w:rsidRDefault="00D71428">
      <w:pPr>
        <w:pStyle w:val="affffffb"/>
        <w:spacing w:before="120" w:after="120"/>
        <w:outlineLvl w:val="9"/>
        <w:rPr>
          <w:color w:val="000000" w:themeColor="text1"/>
        </w:rPr>
      </w:pPr>
      <w:r>
        <w:rPr>
          <w:rFonts w:hint="eastAsia"/>
          <w:color w:val="000000" w:themeColor="text1"/>
        </w:rPr>
        <w:t>8</w:t>
      </w:r>
      <w:r>
        <w:rPr>
          <w:rFonts w:hint="eastAsia"/>
          <w:color w:val="000000" w:themeColor="text1"/>
        </w:rPr>
        <w:t>.</w:t>
      </w:r>
      <w:r>
        <w:rPr>
          <w:rFonts w:hint="eastAsia"/>
          <w:color w:val="000000" w:themeColor="text1"/>
        </w:rPr>
        <w:t>2</w:t>
      </w:r>
      <w:r>
        <w:rPr>
          <w:rFonts w:hint="eastAsia"/>
          <w:color w:val="000000" w:themeColor="text1"/>
        </w:rPr>
        <w:t xml:space="preserve"> </w:t>
      </w:r>
      <w:r>
        <w:rPr>
          <w:rFonts w:hint="eastAsia"/>
          <w:color w:val="000000" w:themeColor="text1"/>
        </w:rPr>
        <w:t>修复范围确定</w:t>
      </w:r>
    </w:p>
    <w:p w:rsidR="003C2CC0" w:rsidRDefault="00D71428">
      <w:pPr>
        <w:pStyle w:val="affffe"/>
        <w:spacing w:before="120" w:after="120"/>
        <w:outlineLvl w:val="9"/>
        <w:rPr>
          <w:color w:val="000000" w:themeColor="text1"/>
        </w:rPr>
      </w:pPr>
      <w:r>
        <w:rPr>
          <w:rFonts w:hint="eastAsia"/>
          <w:color w:val="000000" w:themeColor="text1"/>
        </w:rPr>
        <w:t xml:space="preserve">8.2.1 </w:t>
      </w:r>
      <w:r>
        <w:rPr>
          <w:rFonts w:ascii="宋体" w:eastAsia="宋体" w:hint="eastAsia"/>
        </w:rPr>
        <w:t>应结合水文地质特征、</w:t>
      </w:r>
      <w:proofErr w:type="gramStart"/>
      <w:r>
        <w:rPr>
          <w:rFonts w:ascii="宋体" w:eastAsia="宋体" w:hint="eastAsia"/>
        </w:rPr>
        <w:t>源项调查</w:t>
      </w:r>
      <w:proofErr w:type="gramEnd"/>
      <w:r>
        <w:rPr>
          <w:rFonts w:ascii="宋体" w:eastAsia="宋体" w:hint="eastAsia"/>
        </w:rPr>
        <w:t>结果、监测井设置情况，确定地下水修复范围。</w:t>
      </w:r>
    </w:p>
    <w:p w:rsidR="003C2CC0" w:rsidRDefault="00D71428">
      <w:pPr>
        <w:pStyle w:val="affffe"/>
        <w:spacing w:before="120" w:after="120"/>
        <w:outlineLvl w:val="9"/>
        <w:rPr>
          <w:rFonts w:ascii="宋体" w:eastAsia="宋体"/>
          <w:highlight w:val="yellow"/>
        </w:rPr>
      </w:pPr>
      <w:r>
        <w:rPr>
          <w:rFonts w:hint="eastAsia"/>
          <w:color w:val="000000" w:themeColor="text1"/>
        </w:rPr>
        <w:t xml:space="preserve">8.2.2 </w:t>
      </w:r>
      <w:r>
        <w:rPr>
          <w:rFonts w:ascii="宋体" w:eastAsia="宋体" w:hint="eastAsia"/>
        </w:rPr>
        <w:t>地下水修复范围应</w:t>
      </w:r>
      <w:r>
        <w:rPr>
          <w:rFonts w:ascii="宋体" w:eastAsia="宋体" w:hint="eastAsia"/>
        </w:rPr>
        <w:t>考虑</w:t>
      </w:r>
      <w:r>
        <w:rPr>
          <w:rFonts w:ascii="Times New Roman" w:eastAsia="宋体" w:hint="eastAsia"/>
          <w:szCs w:val="21"/>
        </w:rPr>
        <w:t>原开采区域边界内的含矿含水层区域</w:t>
      </w:r>
      <w:r>
        <w:rPr>
          <w:rFonts w:ascii="宋体" w:eastAsia="宋体" w:hint="eastAsia"/>
        </w:rPr>
        <w:t>及边界外延伸至监测井的区域</w:t>
      </w:r>
      <w:r>
        <w:rPr>
          <w:rFonts w:ascii="宋体" w:eastAsia="宋体" w:hint="eastAsia"/>
        </w:rPr>
        <w:t>。</w:t>
      </w:r>
      <w:r>
        <w:rPr>
          <w:rFonts w:ascii="宋体" w:eastAsia="宋体" w:hint="eastAsia"/>
        </w:rPr>
        <w:t>开采导致含矿含水层上、下含水层</w:t>
      </w:r>
      <w:r>
        <w:rPr>
          <w:rFonts w:ascii="宋体" w:eastAsia="宋体" w:hint="eastAsia"/>
        </w:rPr>
        <w:t>超标</w:t>
      </w:r>
      <w:r>
        <w:rPr>
          <w:rFonts w:ascii="宋体" w:eastAsia="宋体" w:hint="eastAsia"/>
        </w:rPr>
        <w:t>的，还应将</w:t>
      </w:r>
      <w:r>
        <w:rPr>
          <w:rFonts w:ascii="宋体" w:eastAsia="宋体" w:hint="eastAsia"/>
        </w:rPr>
        <w:t>超标</w:t>
      </w:r>
      <w:r>
        <w:rPr>
          <w:rFonts w:ascii="宋体" w:eastAsia="宋体" w:hint="eastAsia"/>
        </w:rPr>
        <w:t>的含水层纳入地下水修复范围</w:t>
      </w:r>
      <w:r>
        <w:rPr>
          <w:rFonts w:ascii="宋体" w:eastAsia="宋体"/>
        </w:rPr>
        <w:t>。</w:t>
      </w:r>
    </w:p>
    <w:p w:rsidR="003C2CC0" w:rsidRDefault="00D71428">
      <w:pPr>
        <w:pStyle w:val="affffffa"/>
        <w:numPr>
          <w:ilvl w:val="0"/>
          <w:numId w:val="30"/>
        </w:numPr>
        <w:spacing w:before="240" w:after="240"/>
        <w:ind w:left="0" w:firstLine="0"/>
        <w:rPr>
          <w:rFonts w:hAnsi="黑体" w:cs="黑体"/>
          <w:szCs w:val="21"/>
        </w:rPr>
      </w:pPr>
      <w:bookmarkStart w:id="68" w:name="_Toc10582"/>
      <w:bookmarkStart w:id="69" w:name="_Toc992"/>
      <w:r>
        <w:rPr>
          <w:rFonts w:hAnsi="黑体" w:cs="黑体" w:hint="eastAsia"/>
          <w:szCs w:val="21"/>
        </w:rPr>
        <w:t>放射性特征因子修复目标值</w:t>
      </w:r>
      <w:bookmarkEnd w:id="68"/>
      <w:bookmarkEnd w:id="69"/>
    </w:p>
    <w:p w:rsidR="003C2CC0" w:rsidRDefault="00D71428">
      <w:pPr>
        <w:pStyle w:val="affffffb"/>
        <w:spacing w:before="120" w:after="120"/>
        <w:outlineLvl w:val="9"/>
        <w:rPr>
          <w:color w:val="000000" w:themeColor="text1"/>
        </w:rPr>
      </w:pPr>
      <w:r>
        <w:rPr>
          <w:rFonts w:hint="eastAsia"/>
          <w:color w:val="000000" w:themeColor="text1"/>
        </w:rPr>
        <w:t>9</w:t>
      </w:r>
      <w:r>
        <w:rPr>
          <w:rFonts w:hint="eastAsia"/>
          <w:color w:val="000000" w:themeColor="text1"/>
        </w:rPr>
        <w:t>.</w:t>
      </w:r>
      <w:r>
        <w:rPr>
          <w:rFonts w:hint="eastAsia"/>
          <w:color w:val="000000" w:themeColor="text1"/>
        </w:rPr>
        <w:t>1</w:t>
      </w:r>
      <w:r>
        <w:rPr>
          <w:rFonts w:hint="eastAsia"/>
          <w:color w:val="000000" w:themeColor="text1"/>
        </w:rPr>
        <w:t xml:space="preserve"> </w:t>
      </w:r>
      <w:r>
        <w:rPr>
          <w:rFonts w:hint="eastAsia"/>
          <w:color w:val="000000" w:themeColor="text1"/>
        </w:rPr>
        <w:t>放射性特征因子潜在暴露途径分析</w:t>
      </w:r>
    </w:p>
    <w:p w:rsidR="003C2CC0" w:rsidRDefault="00D71428">
      <w:pPr>
        <w:pStyle w:val="affffe"/>
        <w:spacing w:before="120" w:after="120"/>
        <w:outlineLvl w:val="9"/>
      </w:pPr>
      <w:r>
        <w:rPr>
          <w:rFonts w:hint="eastAsia"/>
          <w:color w:val="000000" w:themeColor="text1"/>
        </w:rPr>
        <w:t>9</w:t>
      </w:r>
      <w:r>
        <w:rPr>
          <w:rFonts w:hint="eastAsia"/>
          <w:color w:val="000000" w:themeColor="text1"/>
        </w:rPr>
        <w:t>.</w:t>
      </w:r>
      <w:r>
        <w:rPr>
          <w:rFonts w:hint="eastAsia"/>
          <w:color w:val="000000" w:themeColor="text1"/>
        </w:rPr>
        <w:t>1</w:t>
      </w:r>
      <w:r>
        <w:rPr>
          <w:rFonts w:hint="eastAsia"/>
          <w:color w:val="000000" w:themeColor="text1"/>
        </w:rPr>
        <w:t xml:space="preserve">.1 </w:t>
      </w:r>
      <w:r>
        <w:rPr>
          <w:rFonts w:eastAsia="宋体" w:cs="宋体" w:hint="eastAsia"/>
          <w:szCs w:val="21"/>
        </w:rPr>
        <w:t>开展地下水中残留放射性</w:t>
      </w:r>
      <w:r>
        <w:rPr>
          <w:rFonts w:eastAsia="宋体" w:cs="宋体" w:hint="eastAsia"/>
          <w:szCs w:val="21"/>
        </w:rPr>
        <w:t>特征因子</w:t>
      </w:r>
      <w:r>
        <w:rPr>
          <w:rFonts w:eastAsia="宋体" w:cs="宋体" w:hint="eastAsia"/>
          <w:szCs w:val="21"/>
        </w:rPr>
        <w:t>潜在</w:t>
      </w:r>
      <w:r>
        <w:rPr>
          <w:rFonts w:eastAsia="宋体" w:cs="宋体" w:hint="eastAsia"/>
          <w:szCs w:val="21"/>
        </w:rPr>
        <w:t>暴露</w:t>
      </w:r>
      <w:r>
        <w:rPr>
          <w:rFonts w:eastAsia="宋体" w:cs="宋体" w:hint="eastAsia"/>
          <w:szCs w:val="21"/>
        </w:rPr>
        <w:t>途径识别，</w:t>
      </w:r>
      <w:r>
        <w:rPr>
          <w:rFonts w:eastAsia="宋体" w:cs="宋体" w:hint="eastAsia"/>
          <w:szCs w:val="21"/>
        </w:rPr>
        <w:t>统计</w:t>
      </w:r>
      <w:r>
        <w:rPr>
          <w:rFonts w:eastAsia="宋体" w:cs="宋体" w:hint="eastAsia"/>
          <w:szCs w:val="21"/>
        </w:rPr>
        <w:t>可能受影响的</w:t>
      </w:r>
      <w:r>
        <w:rPr>
          <w:rFonts w:eastAsia="宋体" w:cs="宋体" w:hint="eastAsia"/>
          <w:szCs w:val="21"/>
        </w:rPr>
        <w:t>动植物种类和居民饮食习性，</w:t>
      </w:r>
      <w:bookmarkStart w:id="70" w:name="OLE_LINK3"/>
      <w:r>
        <w:rPr>
          <w:rFonts w:eastAsia="宋体" w:cs="宋体" w:hint="eastAsia"/>
          <w:szCs w:val="21"/>
        </w:rPr>
        <w:t>分析特征因子</w:t>
      </w:r>
      <w:bookmarkEnd w:id="70"/>
      <w:r>
        <w:rPr>
          <w:rFonts w:eastAsia="宋体" w:cs="宋体" w:hint="eastAsia"/>
          <w:szCs w:val="21"/>
        </w:rPr>
        <w:t>和受影响</w:t>
      </w:r>
      <w:r>
        <w:rPr>
          <w:rFonts w:eastAsia="宋体" w:cs="宋体" w:hint="eastAsia"/>
          <w:szCs w:val="21"/>
        </w:rPr>
        <w:t>对象</w:t>
      </w:r>
      <w:r>
        <w:rPr>
          <w:rFonts w:eastAsia="宋体" w:cs="宋体" w:hint="eastAsia"/>
          <w:szCs w:val="21"/>
        </w:rPr>
        <w:t>之间的</w:t>
      </w:r>
      <w:r>
        <w:rPr>
          <w:rFonts w:eastAsia="宋体" w:cs="宋体" w:hint="eastAsia"/>
          <w:szCs w:val="21"/>
        </w:rPr>
        <w:t>迁移富集规律</w:t>
      </w:r>
      <w:r>
        <w:rPr>
          <w:rFonts w:eastAsia="宋体" w:cs="宋体" w:hint="eastAsia"/>
          <w:szCs w:val="21"/>
        </w:rPr>
        <w:t>，确定</w:t>
      </w:r>
      <w:r>
        <w:rPr>
          <w:rFonts w:eastAsia="宋体" w:cs="宋体" w:hint="eastAsia"/>
          <w:szCs w:val="21"/>
        </w:rPr>
        <w:t>主要</w:t>
      </w:r>
      <w:r>
        <w:rPr>
          <w:rFonts w:eastAsia="宋体" w:cs="宋体" w:hint="eastAsia"/>
          <w:szCs w:val="21"/>
        </w:rPr>
        <w:t>潜在</w:t>
      </w:r>
      <w:r>
        <w:rPr>
          <w:rFonts w:eastAsia="宋体" w:cs="宋体" w:hint="eastAsia"/>
          <w:szCs w:val="21"/>
        </w:rPr>
        <w:t>暴露</w:t>
      </w:r>
      <w:r>
        <w:rPr>
          <w:rFonts w:eastAsia="宋体" w:cs="宋体" w:hint="eastAsia"/>
          <w:szCs w:val="21"/>
        </w:rPr>
        <w:t>途径。</w:t>
      </w:r>
    </w:p>
    <w:p w:rsidR="003C2CC0" w:rsidRDefault="00D71428">
      <w:pPr>
        <w:pStyle w:val="affffe"/>
        <w:spacing w:before="120" w:after="120"/>
        <w:outlineLvl w:val="9"/>
        <w:rPr>
          <w:color w:val="000000" w:themeColor="text1"/>
        </w:rPr>
      </w:pPr>
      <w:r>
        <w:rPr>
          <w:rFonts w:hint="eastAsia"/>
          <w:color w:val="000000" w:themeColor="text1"/>
        </w:rPr>
        <w:t>9</w:t>
      </w:r>
      <w:r>
        <w:rPr>
          <w:rFonts w:hint="eastAsia"/>
          <w:color w:val="000000" w:themeColor="text1"/>
        </w:rPr>
        <w:t>.</w:t>
      </w:r>
      <w:r>
        <w:rPr>
          <w:rFonts w:hint="eastAsia"/>
          <w:color w:val="000000" w:themeColor="text1"/>
        </w:rPr>
        <w:t>1</w:t>
      </w:r>
      <w:r>
        <w:rPr>
          <w:rFonts w:hint="eastAsia"/>
          <w:color w:val="000000" w:themeColor="text1"/>
        </w:rPr>
        <w:t>.</w:t>
      </w:r>
      <w:r>
        <w:rPr>
          <w:rFonts w:hint="eastAsia"/>
          <w:color w:val="000000" w:themeColor="text1"/>
        </w:rPr>
        <w:t>2</w:t>
      </w:r>
      <w:r>
        <w:rPr>
          <w:rFonts w:hint="eastAsia"/>
          <w:color w:val="000000" w:themeColor="text1"/>
        </w:rPr>
        <w:t xml:space="preserve"> </w:t>
      </w:r>
      <w:r>
        <w:rPr>
          <w:rFonts w:eastAsia="宋体" w:cs="宋体" w:hint="eastAsia"/>
          <w:szCs w:val="21"/>
        </w:rPr>
        <w:t>地下水使用</w:t>
      </w:r>
      <w:r>
        <w:rPr>
          <w:rFonts w:eastAsia="宋体" w:cs="宋体" w:hint="eastAsia"/>
          <w:szCs w:val="21"/>
        </w:rPr>
        <w:t>功能</w:t>
      </w:r>
      <w:r>
        <w:rPr>
          <w:rFonts w:eastAsia="宋体" w:cs="宋体" w:hint="eastAsia"/>
          <w:szCs w:val="21"/>
        </w:rPr>
        <w:t>涉及</w:t>
      </w:r>
      <w:r>
        <w:rPr>
          <w:rFonts w:eastAsia="宋体" w:cs="宋体" w:hint="eastAsia"/>
          <w:szCs w:val="21"/>
        </w:rPr>
        <w:t>生活饮用水</w:t>
      </w:r>
      <w:r>
        <w:rPr>
          <w:rFonts w:eastAsia="宋体" w:cs="宋体" w:hint="eastAsia"/>
          <w:szCs w:val="21"/>
        </w:rPr>
        <w:t>的</w:t>
      </w:r>
      <w:r>
        <w:rPr>
          <w:rFonts w:eastAsia="宋体" w:cs="宋体" w:hint="eastAsia"/>
          <w:szCs w:val="21"/>
        </w:rPr>
        <w:t>，</w:t>
      </w:r>
      <w:r>
        <w:rPr>
          <w:rFonts w:eastAsia="宋体" w:cs="宋体" w:hint="eastAsia"/>
          <w:szCs w:val="21"/>
        </w:rPr>
        <w:t>潜在</w:t>
      </w:r>
      <w:r>
        <w:rPr>
          <w:rFonts w:eastAsia="宋体" w:cs="宋体" w:hint="eastAsia"/>
          <w:szCs w:val="21"/>
        </w:rPr>
        <w:t>暴露</w:t>
      </w:r>
      <w:r>
        <w:rPr>
          <w:rFonts w:eastAsia="宋体" w:cs="宋体" w:hint="eastAsia"/>
          <w:szCs w:val="21"/>
        </w:rPr>
        <w:t>途径主要为饮水</w:t>
      </w:r>
      <w:r>
        <w:rPr>
          <w:rFonts w:eastAsia="宋体" w:cs="宋体" w:hint="eastAsia"/>
          <w:szCs w:val="21"/>
        </w:rPr>
        <w:t>途径</w:t>
      </w:r>
      <w:r>
        <w:rPr>
          <w:rFonts w:eastAsia="宋体" w:cs="宋体" w:hint="eastAsia"/>
          <w:szCs w:val="21"/>
        </w:rPr>
        <w:t>。</w:t>
      </w:r>
    </w:p>
    <w:p w:rsidR="003C2CC0" w:rsidRDefault="00D71428">
      <w:pPr>
        <w:pStyle w:val="affffe"/>
        <w:spacing w:beforeLines="0" w:before="0" w:afterLines="0" w:after="0"/>
        <w:outlineLvl w:val="9"/>
        <w:rPr>
          <w:rFonts w:eastAsia="宋体" w:cs="宋体"/>
          <w:szCs w:val="21"/>
        </w:rPr>
      </w:pPr>
      <w:r>
        <w:rPr>
          <w:rFonts w:hint="eastAsia"/>
          <w:color w:val="000000" w:themeColor="text1"/>
        </w:rPr>
        <w:t>9</w:t>
      </w:r>
      <w:r>
        <w:rPr>
          <w:rFonts w:hint="eastAsia"/>
          <w:color w:val="000000" w:themeColor="text1"/>
        </w:rPr>
        <w:t>.</w:t>
      </w:r>
      <w:r>
        <w:rPr>
          <w:rFonts w:hint="eastAsia"/>
          <w:color w:val="000000" w:themeColor="text1"/>
        </w:rPr>
        <w:t>1</w:t>
      </w:r>
      <w:r>
        <w:rPr>
          <w:rFonts w:hint="eastAsia"/>
          <w:color w:val="000000" w:themeColor="text1"/>
        </w:rPr>
        <w:t>.</w:t>
      </w:r>
      <w:r>
        <w:rPr>
          <w:rFonts w:hint="eastAsia"/>
          <w:color w:val="000000" w:themeColor="text1"/>
        </w:rPr>
        <w:t>3</w:t>
      </w:r>
      <w:r>
        <w:rPr>
          <w:rFonts w:hint="eastAsia"/>
          <w:color w:val="000000" w:themeColor="text1"/>
        </w:rPr>
        <w:t xml:space="preserve"> </w:t>
      </w:r>
      <w:r>
        <w:rPr>
          <w:rFonts w:eastAsia="宋体" w:cs="宋体" w:hint="eastAsia"/>
          <w:szCs w:val="21"/>
        </w:rPr>
        <w:t>地下水使用</w:t>
      </w:r>
      <w:r>
        <w:rPr>
          <w:rFonts w:eastAsia="宋体" w:cs="宋体" w:hint="eastAsia"/>
          <w:szCs w:val="21"/>
        </w:rPr>
        <w:t>功能</w:t>
      </w:r>
      <w:r>
        <w:rPr>
          <w:rFonts w:eastAsia="宋体" w:cs="宋体" w:hint="eastAsia"/>
          <w:szCs w:val="21"/>
        </w:rPr>
        <w:t>涉及</w:t>
      </w:r>
      <w:r>
        <w:rPr>
          <w:rFonts w:eastAsia="宋体" w:cs="宋体" w:hint="eastAsia"/>
          <w:szCs w:val="21"/>
        </w:rPr>
        <w:t>农业用水的</w:t>
      </w:r>
      <w:r>
        <w:rPr>
          <w:rFonts w:eastAsia="宋体" w:cs="宋体" w:hint="eastAsia"/>
          <w:szCs w:val="21"/>
        </w:rPr>
        <w:t>，</w:t>
      </w:r>
      <w:r>
        <w:rPr>
          <w:rFonts w:eastAsia="宋体" w:cs="宋体" w:hint="eastAsia"/>
          <w:szCs w:val="21"/>
        </w:rPr>
        <w:t>潜在</w:t>
      </w:r>
      <w:r>
        <w:rPr>
          <w:rFonts w:eastAsia="宋体" w:cs="宋体" w:hint="eastAsia"/>
          <w:szCs w:val="21"/>
        </w:rPr>
        <w:t>暴露</w:t>
      </w:r>
      <w:r>
        <w:rPr>
          <w:rFonts w:eastAsia="宋体" w:cs="宋体" w:hint="eastAsia"/>
          <w:szCs w:val="21"/>
        </w:rPr>
        <w:t>途径主要</w:t>
      </w:r>
      <w:r>
        <w:rPr>
          <w:rFonts w:eastAsia="宋体" w:cs="宋体" w:hint="eastAsia"/>
          <w:szCs w:val="21"/>
        </w:rPr>
        <w:t>为食入途径，包括：</w:t>
      </w:r>
    </w:p>
    <w:p w:rsidR="003C2CC0" w:rsidRDefault="00D71428">
      <w:pPr>
        <w:pStyle w:val="affffe"/>
        <w:spacing w:beforeLines="0" w:before="0" w:afterLines="0" w:after="0"/>
        <w:ind w:firstLineChars="200" w:firstLine="420"/>
        <w:outlineLvl w:val="9"/>
        <w:rPr>
          <w:rFonts w:ascii="Times New Roman" w:eastAsia="宋体" w:cs="宋体"/>
          <w:szCs w:val="21"/>
        </w:rPr>
      </w:pPr>
      <w:r>
        <w:rPr>
          <w:rFonts w:ascii="Times New Roman" w:eastAsia="宋体" w:cs="宋体" w:hint="eastAsia"/>
          <w:szCs w:val="21"/>
        </w:rPr>
        <w:t>a</w:t>
      </w:r>
      <w:r>
        <w:rPr>
          <w:rFonts w:ascii="Times New Roman" w:eastAsia="宋体" w:cs="宋体" w:hint="eastAsia"/>
          <w:szCs w:val="21"/>
        </w:rPr>
        <w:t>）灌溉农作物，农作物</w:t>
      </w:r>
      <w:r>
        <w:rPr>
          <w:rFonts w:ascii="Times New Roman" w:eastAsia="宋体" w:cs="宋体" w:hint="eastAsia"/>
          <w:szCs w:val="21"/>
        </w:rPr>
        <w:t>产品</w:t>
      </w:r>
      <w:r>
        <w:rPr>
          <w:rFonts w:ascii="Times New Roman" w:eastAsia="宋体" w:cs="宋体" w:hint="eastAsia"/>
          <w:szCs w:val="21"/>
        </w:rPr>
        <w:t>被人类食入</w:t>
      </w:r>
      <w:r>
        <w:rPr>
          <w:rFonts w:ascii="Times New Roman" w:eastAsia="宋体" w:cs="宋体"/>
          <w:szCs w:val="21"/>
        </w:rPr>
        <w:t>；</w:t>
      </w:r>
    </w:p>
    <w:p w:rsidR="003C2CC0" w:rsidRDefault="00D71428">
      <w:pPr>
        <w:pStyle w:val="affffe"/>
        <w:spacing w:beforeLines="0" w:before="0" w:afterLines="0" w:after="0"/>
        <w:ind w:firstLineChars="200" w:firstLine="420"/>
        <w:outlineLvl w:val="9"/>
        <w:rPr>
          <w:rFonts w:ascii="Times New Roman" w:eastAsia="宋体" w:cs="宋体"/>
          <w:szCs w:val="21"/>
        </w:rPr>
      </w:pPr>
      <w:r>
        <w:rPr>
          <w:rFonts w:ascii="Times New Roman" w:eastAsia="宋体" w:cs="宋体"/>
          <w:szCs w:val="21"/>
        </w:rPr>
        <w:t>b</w:t>
      </w:r>
      <w:r>
        <w:rPr>
          <w:rFonts w:ascii="Times New Roman" w:eastAsia="宋体" w:cs="宋体" w:hint="eastAsia"/>
          <w:szCs w:val="21"/>
        </w:rPr>
        <w:t>）灌溉农作物，农作物被动物食入，动物</w:t>
      </w:r>
      <w:r>
        <w:rPr>
          <w:rFonts w:ascii="Times New Roman" w:eastAsia="宋体" w:cs="宋体" w:hint="eastAsia"/>
          <w:szCs w:val="21"/>
        </w:rPr>
        <w:t>产品</w:t>
      </w:r>
      <w:r>
        <w:rPr>
          <w:rFonts w:ascii="Times New Roman" w:eastAsia="宋体" w:cs="宋体" w:hint="eastAsia"/>
          <w:szCs w:val="21"/>
        </w:rPr>
        <w:t>被人类食入</w:t>
      </w:r>
      <w:r>
        <w:rPr>
          <w:rFonts w:ascii="Times New Roman" w:eastAsia="宋体" w:cs="宋体"/>
          <w:szCs w:val="21"/>
        </w:rPr>
        <w:t>；</w:t>
      </w:r>
    </w:p>
    <w:p w:rsidR="003C2CC0" w:rsidRDefault="00D71428">
      <w:pPr>
        <w:pStyle w:val="affffe"/>
        <w:spacing w:beforeLines="0" w:before="0" w:after="120"/>
        <w:ind w:firstLineChars="200" w:firstLine="420"/>
        <w:outlineLvl w:val="9"/>
        <w:rPr>
          <w:rFonts w:ascii="Times New Roman" w:eastAsia="宋体" w:cs="宋体"/>
          <w:szCs w:val="21"/>
        </w:rPr>
      </w:pPr>
      <w:r>
        <w:rPr>
          <w:rFonts w:ascii="Times New Roman" w:eastAsia="宋体" w:cs="宋体"/>
          <w:szCs w:val="21"/>
        </w:rPr>
        <w:t>c</w:t>
      </w:r>
      <w:r>
        <w:rPr>
          <w:rFonts w:ascii="Times New Roman" w:eastAsia="宋体" w:cs="宋体" w:hint="eastAsia"/>
          <w:szCs w:val="21"/>
        </w:rPr>
        <w:t>）动物饮水，动物</w:t>
      </w:r>
      <w:r>
        <w:rPr>
          <w:rFonts w:ascii="Times New Roman" w:eastAsia="宋体" w:cs="宋体" w:hint="eastAsia"/>
          <w:szCs w:val="21"/>
        </w:rPr>
        <w:t>产品</w:t>
      </w:r>
      <w:r>
        <w:rPr>
          <w:rFonts w:ascii="Times New Roman" w:eastAsia="宋体" w:cs="宋体" w:hint="eastAsia"/>
          <w:szCs w:val="21"/>
        </w:rPr>
        <w:t>被人类食入。</w:t>
      </w:r>
    </w:p>
    <w:p w:rsidR="003C2CC0" w:rsidRDefault="00D71428">
      <w:pPr>
        <w:pStyle w:val="affffe"/>
        <w:spacing w:before="120" w:after="120"/>
        <w:outlineLvl w:val="9"/>
      </w:pPr>
      <w:r>
        <w:rPr>
          <w:rFonts w:hint="eastAsia"/>
          <w:color w:val="000000" w:themeColor="text1"/>
        </w:rPr>
        <w:t>9</w:t>
      </w:r>
      <w:r>
        <w:rPr>
          <w:rFonts w:hint="eastAsia"/>
          <w:color w:val="000000" w:themeColor="text1"/>
        </w:rPr>
        <w:t>.</w:t>
      </w:r>
      <w:r>
        <w:rPr>
          <w:rFonts w:hint="eastAsia"/>
          <w:color w:val="000000" w:themeColor="text1"/>
        </w:rPr>
        <w:t>1</w:t>
      </w:r>
      <w:r>
        <w:rPr>
          <w:rFonts w:hint="eastAsia"/>
          <w:color w:val="000000" w:themeColor="text1"/>
        </w:rPr>
        <w:t>.</w:t>
      </w:r>
      <w:r>
        <w:rPr>
          <w:rFonts w:hint="eastAsia"/>
          <w:color w:val="000000" w:themeColor="text1"/>
        </w:rPr>
        <w:t>4</w:t>
      </w:r>
      <w:r>
        <w:rPr>
          <w:rFonts w:hint="eastAsia"/>
          <w:color w:val="000000" w:themeColor="text1"/>
        </w:rPr>
        <w:t xml:space="preserve"> </w:t>
      </w:r>
      <w:r>
        <w:rPr>
          <w:rFonts w:eastAsia="宋体" w:cs="宋体" w:hint="eastAsia"/>
          <w:szCs w:val="21"/>
        </w:rPr>
        <w:t>地下水使用</w:t>
      </w:r>
      <w:r>
        <w:rPr>
          <w:rFonts w:eastAsia="宋体" w:cs="宋体" w:hint="eastAsia"/>
          <w:szCs w:val="21"/>
        </w:rPr>
        <w:t>功能</w:t>
      </w:r>
      <w:r>
        <w:rPr>
          <w:rFonts w:eastAsia="宋体" w:cs="宋体" w:hint="eastAsia"/>
          <w:szCs w:val="21"/>
        </w:rPr>
        <w:t>涉及工</w:t>
      </w:r>
      <w:r>
        <w:rPr>
          <w:rFonts w:eastAsia="宋体" w:cs="宋体" w:hint="eastAsia"/>
          <w:szCs w:val="21"/>
        </w:rPr>
        <w:t>业用水</w:t>
      </w:r>
      <w:r>
        <w:rPr>
          <w:rFonts w:eastAsia="宋体" w:cs="宋体" w:hint="eastAsia"/>
          <w:szCs w:val="21"/>
        </w:rPr>
        <w:t>中非食品工业用水的，可保守按照农业用水考虑；涉及工</w:t>
      </w:r>
      <w:r>
        <w:rPr>
          <w:rFonts w:eastAsia="宋体" w:cs="宋体" w:hint="eastAsia"/>
          <w:szCs w:val="21"/>
        </w:rPr>
        <w:t>业用水</w:t>
      </w:r>
      <w:r>
        <w:rPr>
          <w:rFonts w:eastAsia="宋体" w:cs="宋体" w:hint="eastAsia"/>
          <w:szCs w:val="21"/>
        </w:rPr>
        <w:t>中食品工业用水的，可保守按照生活饮用水考虑。</w:t>
      </w:r>
    </w:p>
    <w:p w:rsidR="003C2CC0" w:rsidRDefault="00D71428">
      <w:pPr>
        <w:pStyle w:val="affffffb"/>
        <w:spacing w:before="120" w:after="120"/>
        <w:outlineLvl w:val="9"/>
        <w:rPr>
          <w:color w:val="000000" w:themeColor="text1"/>
        </w:rPr>
      </w:pPr>
      <w:r>
        <w:rPr>
          <w:rFonts w:hint="eastAsia"/>
          <w:color w:val="000000" w:themeColor="text1"/>
        </w:rPr>
        <w:t>9</w:t>
      </w:r>
      <w:r>
        <w:rPr>
          <w:rFonts w:hint="eastAsia"/>
          <w:color w:val="000000" w:themeColor="text1"/>
        </w:rPr>
        <w:t>.</w:t>
      </w:r>
      <w:r>
        <w:rPr>
          <w:rFonts w:hint="eastAsia"/>
          <w:color w:val="000000" w:themeColor="text1"/>
        </w:rPr>
        <w:t>2</w:t>
      </w:r>
      <w:r>
        <w:rPr>
          <w:rFonts w:hint="eastAsia"/>
          <w:color w:val="000000" w:themeColor="text1"/>
        </w:rPr>
        <w:t xml:space="preserve"> </w:t>
      </w:r>
      <w:r>
        <w:rPr>
          <w:rFonts w:hint="eastAsia"/>
          <w:color w:val="000000" w:themeColor="text1"/>
        </w:rPr>
        <w:t>放射性特征因子修复目标值确定</w:t>
      </w:r>
    </w:p>
    <w:p w:rsidR="003C2CC0" w:rsidRDefault="00D71428">
      <w:pPr>
        <w:pStyle w:val="affffe"/>
        <w:spacing w:before="120" w:after="120"/>
        <w:outlineLvl w:val="9"/>
        <w:rPr>
          <w:rFonts w:ascii="Times New Roman" w:eastAsia="宋体" w:cs="宋体"/>
          <w:szCs w:val="21"/>
        </w:rPr>
      </w:pPr>
      <w:r>
        <w:rPr>
          <w:rFonts w:hint="eastAsia"/>
          <w:color w:val="000000" w:themeColor="text1"/>
        </w:rPr>
        <w:t>9</w:t>
      </w:r>
      <w:r>
        <w:rPr>
          <w:rFonts w:hint="eastAsia"/>
          <w:color w:val="000000" w:themeColor="text1"/>
        </w:rPr>
        <w:t>.</w:t>
      </w:r>
      <w:r>
        <w:rPr>
          <w:rFonts w:hint="eastAsia"/>
          <w:color w:val="000000" w:themeColor="text1"/>
        </w:rPr>
        <w:t>2</w:t>
      </w:r>
      <w:r>
        <w:rPr>
          <w:rFonts w:hint="eastAsia"/>
          <w:color w:val="000000" w:themeColor="text1"/>
        </w:rPr>
        <w:t xml:space="preserve">.1 </w:t>
      </w:r>
      <w:r>
        <w:rPr>
          <w:rFonts w:eastAsia="宋体" w:cs="宋体" w:hint="eastAsia"/>
          <w:szCs w:val="21"/>
        </w:rPr>
        <w:t>地下水使用</w:t>
      </w:r>
      <w:r>
        <w:rPr>
          <w:rFonts w:eastAsia="宋体" w:cs="宋体" w:hint="eastAsia"/>
          <w:szCs w:val="21"/>
        </w:rPr>
        <w:t>功能</w:t>
      </w:r>
      <w:r>
        <w:rPr>
          <w:rFonts w:eastAsia="宋体" w:cs="宋体" w:hint="eastAsia"/>
          <w:szCs w:val="21"/>
        </w:rPr>
        <w:t>涉及</w:t>
      </w:r>
      <w:r>
        <w:rPr>
          <w:rFonts w:eastAsia="宋体" w:cs="宋体" w:hint="eastAsia"/>
          <w:szCs w:val="21"/>
        </w:rPr>
        <w:t>生活饮用水</w:t>
      </w:r>
      <w:r>
        <w:rPr>
          <w:rFonts w:eastAsia="宋体" w:cs="宋体" w:hint="eastAsia"/>
          <w:szCs w:val="21"/>
        </w:rPr>
        <w:t>的</w:t>
      </w:r>
      <w:r>
        <w:rPr>
          <w:rFonts w:ascii="Times New Roman" w:eastAsia="宋体" w:cs="宋体" w:hint="eastAsia"/>
          <w:szCs w:val="21"/>
        </w:rPr>
        <w:t>，放射性</w:t>
      </w:r>
      <w:r>
        <w:rPr>
          <w:rFonts w:ascii="Times New Roman" w:eastAsia="宋体" w:cs="宋体"/>
          <w:szCs w:val="21"/>
        </w:rPr>
        <w:t>特征因子</w:t>
      </w:r>
      <w:r>
        <w:rPr>
          <w:rFonts w:ascii="Times New Roman" w:eastAsia="宋体" w:cs="宋体" w:hint="eastAsia"/>
          <w:szCs w:val="21"/>
        </w:rPr>
        <w:t>修复目标值</w:t>
      </w:r>
      <w:r>
        <w:rPr>
          <w:rFonts w:ascii="Times New Roman" w:eastAsia="宋体" w:cs="宋体"/>
          <w:szCs w:val="21"/>
        </w:rPr>
        <w:t>执行</w:t>
      </w:r>
      <w:r>
        <w:rPr>
          <w:rFonts w:ascii="Times New Roman" w:eastAsia="宋体" w:cs="宋体"/>
          <w:szCs w:val="21"/>
        </w:rPr>
        <w:t>GB</w:t>
      </w:r>
      <w:r>
        <w:rPr>
          <w:rFonts w:ascii="Times New Roman" w:eastAsia="宋体" w:hint="eastAsia"/>
          <w:szCs w:val="21"/>
        </w:rPr>
        <w:t>5749</w:t>
      </w:r>
      <w:r>
        <w:rPr>
          <w:rFonts w:ascii="Times New Roman" w:eastAsia="宋体" w:cs="宋体"/>
          <w:szCs w:val="21"/>
        </w:rPr>
        <w:t>限值要求</w:t>
      </w:r>
      <w:r>
        <w:rPr>
          <w:rFonts w:ascii="Times New Roman" w:eastAsia="宋体" w:cs="宋体" w:hint="eastAsia"/>
          <w:szCs w:val="21"/>
        </w:rPr>
        <w:t>。</w:t>
      </w:r>
    </w:p>
    <w:p w:rsidR="003C2CC0" w:rsidRDefault="00D71428">
      <w:pPr>
        <w:pStyle w:val="affffe"/>
        <w:spacing w:before="120" w:after="120"/>
        <w:outlineLvl w:val="9"/>
        <w:rPr>
          <w:rFonts w:ascii="Times New Roman" w:eastAsia="宋体" w:cs="宋体"/>
          <w:szCs w:val="21"/>
        </w:rPr>
      </w:pPr>
      <w:r>
        <w:rPr>
          <w:rFonts w:hint="eastAsia"/>
          <w:color w:val="000000" w:themeColor="text1"/>
        </w:rPr>
        <w:t>9</w:t>
      </w:r>
      <w:r>
        <w:rPr>
          <w:rFonts w:hint="eastAsia"/>
          <w:color w:val="000000" w:themeColor="text1"/>
        </w:rPr>
        <w:t>.</w:t>
      </w:r>
      <w:r>
        <w:rPr>
          <w:rFonts w:hint="eastAsia"/>
          <w:color w:val="000000" w:themeColor="text1"/>
        </w:rPr>
        <w:t>2</w:t>
      </w:r>
      <w:r>
        <w:rPr>
          <w:rFonts w:hint="eastAsia"/>
          <w:color w:val="000000" w:themeColor="text1"/>
        </w:rPr>
        <w:t>.</w:t>
      </w:r>
      <w:r>
        <w:rPr>
          <w:rFonts w:hint="eastAsia"/>
          <w:color w:val="000000" w:themeColor="text1"/>
        </w:rPr>
        <w:t>2</w:t>
      </w:r>
      <w:r>
        <w:rPr>
          <w:rFonts w:hint="eastAsia"/>
          <w:color w:val="000000" w:themeColor="text1"/>
        </w:rPr>
        <w:t xml:space="preserve"> </w:t>
      </w:r>
      <w:r>
        <w:rPr>
          <w:rFonts w:eastAsia="宋体" w:cs="宋体" w:hint="eastAsia"/>
          <w:szCs w:val="21"/>
        </w:rPr>
        <w:t>地下水使用</w:t>
      </w:r>
      <w:r>
        <w:rPr>
          <w:rFonts w:eastAsia="宋体" w:cs="宋体" w:hint="eastAsia"/>
          <w:szCs w:val="21"/>
        </w:rPr>
        <w:t>功能</w:t>
      </w:r>
      <w:r>
        <w:rPr>
          <w:rFonts w:eastAsia="宋体" w:cs="宋体" w:hint="eastAsia"/>
          <w:szCs w:val="21"/>
        </w:rPr>
        <w:t>涉及</w:t>
      </w:r>
      <w:r>
        <w:rPr>
          <w:rFonts w:eastAsia="宋体" w:cs="宋体" w:hint="eastAsia"/>
          <w:szCs w:val="21"/>
        </w:rPr>
        <w:t>农业用水的</w:t>
      </w:r>
      <w:r>
        <w:rPr>
          <w:rFonts w:ascii="Times New Roman" w:eastAsia="宋体" w:cs="宋体" w:hint="eastAsia"/>
          <w:szCs w:val="21"/>
        </w:rPr>
        <w:t>，</w:t>
      </w:r>
      <w:r>
        <w:rPr>
          <w:rFonts w:ascii="Times New Roman" w:eastAsia="宋体" w:cs="宋体" w:hint="eastAsia"/>
          <w:szCs w:val="21"/>
        </w:rPr>
        <w:t>基于</w:t>
      </w:r>
      <w:r>
        <w:rPr>
          <w:rFonts w:ascii="Times New Roman" w:eastAsia="宋体" w:cs="宋体" w:hint="eastAsia"/>
          <w:szCs w:val="21"/>
        </w:rPr>
        <w:t>人体</w:t>
      </w:r>
      <w:r>
        <w:rPr>
          <w:rFonts w:ascii="Times New Roman" w:eastAsia="宋体" w:cs="宋体"/>
          <w:szCs w:val="21"/>
        </w:rPr>
        <w:t>健康风险阈</w:t>
      </w:r>
      <w:r>
        <w:rPr>
          <w:rFonts w:ascii="Times New Roman" w:eastAsia="宋体" w:cs="宋体" w:hint="eastAsia"/>
          <w:szCs w:val="21"/>
        </w:rPr>
        <w:t>值，结合放射性特征因子迁移富集</w:t>
      </w:r>
      <w:r>
        <w:rPr>
          <w:rFonts w:ascii="Times New Roman" w:eastAsia="宋体" w:cs="宋体" w:hint="eastAsia"/>
          <w:szCs w:val="21"/>
        </w:rPr>
        <w:t>规律</w:t>
      </w:r>
      <w:r>
        <w:rPr>
          <w:rFonts w:ascii="Times New Roman" w:eastAsia="宋体" w:cs="宋体" w:hint="eastAsia"/>
          <w:szCs w:val="21"/>
        </w:rPr>
        <w:t>、</w:t>
      </w:r>
      <w:r>
        <w:rPr>
          <w:rFonts w:ascii="Times New Roman" w:eastAsia="宋体" w:cs="宋体" w:hint="eastAsia"/>
          <w:szCs w:val="21"/>
        </w:rPr>
        <w:t>潜在</w:t>
      </w:r>
      <w:r>
        <w:rPr>
          <w:rFonts w:ascii="Times New Roman" w:eastAsia="宋体" w:cs="宋体" w:hint="eastAsia"/>
          <w:szCs w:val="21"/>
        </w:rPr>
        <w:t>暴露途径、相应途径使用量、居民饮食习性等，</w:t>
      </w:r>
      <w:r>
        <w:rPr>
          <w:rFonts w:ascii="Times New Roman" w:eastAsia="宋体" w:cs="宋体" w:hint="eastAsia"/>
          <w:szCs w:val="21"/>
        </w:rPr>
        <w:t>通过</w:t>
      </w:r>
      <w:r>
        <w:rPr>
          <w:rFonts w:ascii="Times New Roman" w:eastAsia="宋体" w:cs="宋体" w:hint="eastAsia"/>
          <w:szCs w:val="21"/>
        </w:rPr>
        <w:t>放射性核素可接受浓度计算推荐模型，推导给出放射性特征因子修复目标值</w:t>
      </w:r>
      <w:r>
        <w:rPr>
          <w:rFonts w:ascii="Times New Roman" w:eastAsia="宋体" w:cs="宋体" w:hint="eastAsia"/>
          <w:szCs w:val="21"/>
        </w:rPr>
        <w:t>。</w:t>
      </w:r>
      <w:r>
        <w:rPr>
          <w:rFonts w:ascii="Times New Roman" w:eastAsia="宋体" w:cs="宋体" w:hint="eastAsia"/>
          <w:szCs w:val="21"/>
        </w:rPr>
        <w:t>计算方法见附录</w:t>
      </w:r>
      <w:r>
        <w:rPr>
          <w:rFonts w:ascii="Times New Roman" w:eastAsia="宋体" w:cs="宋体" w:hint="eastAsia"/>
          <w:szCs w:val="21"/>
        </w:rPr>
        <w:t>B</w:t>
      </w:r>
      <w:r>
        <w:rPr>
          <w:rFonts w:ascii="Times New Roman" w:eastAsia="宋体" w:cs="宋体" w:hint="eastAsia"/>
          <w:szCs w:val="21"/>
        </w:rPr>
        <w:t>。</w:t>
      </w:r>
    </w:p>
    <w:p w:rsidR="003C2CC0" w:rsidRDefault="00D71428">
      <w:pPr>
        <w:pStyle w:val="affffe"/>
        <w:spacing w:before="120" w:after="120"/>
        <w:outlineLvl w:val="9"/>
        <w:rPr>
          <w:rFonts w:ascii="Times New Roman" w:eastAsia="宋体" w:cs="宋体"/>
          <w:szCs w:val="21"/>
        </w:rPr>
      </w:pPr>
      <w:r>
        <w:rPr>
          <w:rFonts w:hint="eastAsia"/>
          <w:color w:val="000000" w:themeColor="text1"/>
        </w:rPr>
        <w:t>9</w:t>
      </w:r>
      <w:r>
        <w:rPr>
          <w:rFonts w:hint="eastAsia"/>
          <w:color w:val="000000" w:themeColor="text1"/>
        </w:rPr>
        <w:t>.</w:t>
      </w:r>
      <w:r>
        <w:rPr>
          <w:rFonts w:hint="eastAsia"/>
          <w:color w:val="000000" w:themeColor="text1"/>
        </w:rPr>
        <w:t>2</w:t>
      </w:r>
      <w:r>
        <w:rPr>
          <w:rFonts w:hint="eastAsia"/>
          <w:color w:val="000000" w:themeColor="text1"/>
        </w:rPr>
        <w:t>.</w:t>
      </w:r>
      <w:r>
        <w:rPr>
          <w:rFonts w:hint="eastAsia"/>
          <w:color w:val="000000" w:themeColor="text1"/>
        </w:rPr>
        <w:t>3</w:t>
      </w:r>
      <w:r>
        <w:rPr>
          <w:rFonts w:hint="eastAsia"/>
          <w:color w:val="000000" w:themeColor="text1"/>
        </w:rPr>
        <w:t xml:space="preserve"> </w:t>
      </w:r>
      <w:r>
        <w:rPr>
          <w:rFonts w:eastAsia="宋体" w:cs="宋体" w:hint="eastAsia"/>
          <w:szCs w:val="21"/>
        </w:rPr>
        <w:t>地下水使用</w:t>
      </w:r>
      <w:r>
        <w:rPr>
          <w:rFonts w:eastAsia="宋体" w:cs="宋体" w:hint="eastAsia"/>
          <w:szCs w:val="21"/>
        </w:rPr>
        <w:t>功能</w:t>
      </w:r>
      <w:r>
        <w:rPr>
          <w:rFonts w:eastAsia="宋体" w:cs="宋体" w:hint="eastAsia"/>
          <w:szCs w:val="21"/>
        </w:rPr>
        <w:t>涉及工</w:t>
      </w:r>
      <w:r>
        <w:rPr>
          <w:rFonts w:eastAsia="宋体" w:cs="宋体" w:hint="eastAsia"/>
          <w:szCs w:val="21"/>
        </w:rPr>
        <w:t>业用水</w:t>
      </w:r>
      <w:r>
        <w:rPr>
          <w:rFonts w:eastAsia="宋体" w:cs="宋体" w:hint="eastAsia"/>
          <w:szCs w:val="21"/>
        </w:rPr>
        <w:t>中非食品工业用水的</w:t>
      </w:r>
      <w:r>
        <w:rPr>
          <w:rFonts w:ascii="Times New Roman" w:eastAsia="宋体" w:cs="宋体" w:hint="eastAsia"/>
          <w:szCs w:val="21"/>
        </w:rPr>
        <w:t>，</w:t>
      </w:r>
      <w:r>
        <w:rPr>
          <w:rFonts w:ascii="Times New Roman" w:eastAsia="宋体" w:cs="宋体" w:hint="eastAsia"/>
          <w:szCs w:val="21"/>
        </w:rPr>
        <w:t>可保守执行农业用水确定的修复目标值；</w:t>
      </w:r>
      <w:r>
        <w:rPr>
          <w:rFonts w:eastAsia="宋体" w:cs="宋体" w:hint="eastAsia"/>
          <w:szCs w:val="21"/>
        </w:rPr>
        <w:t>涉及工</w:t>
      </w:r>
      <w:r>
        <w:rPr>
          <w:rFonts w:eastAsia="宋体" w:cs="宋体" w:hint="eastAsia"/>
          <w:szCs w:val="21"/>
        </w:rPr>
        <w:t>业用水</w:t>
      </w:r>
      <w:r>
        <w:rPr>
          <w:rFonts w:eastAsia="宋体" w:cs="宋体" w:hint="eastAsia"/>
          <w:szCs w:val="21"/>
        </w:rPr>
        <w:t>中食品工业用水的</w:t>
      </w:r>
      <w:r>
        <w:rPr>
          <w:rFonts w:ascii="Times New Roman" w:eastAsia="宋体" w:cs="宋体" w:hint="eastAsia"/>
          <w:szCs w:val="21"/>
        </w:rPr>
        <w:t>，</w:t>
      </w:r>
      <w:r>
        <w:rPr>
          <w:rFonts w:ascii="Times New Roman" w:eastAsia="宋体" w:cs="宋体" w:hint="eastAsia"/>
          <w:szCs w:val="21"/>
        </w:rPr>
        <w:t>可保守执行</w:t>
      </w:r>
      <w:r>
        <w:rPr>
          <w:rFonts w:eastAsia="宋体" w:cs="宋体" w:hint="eastAsia"/>
          <w:szCs w:val="21"/>
        </w:rPr>
        <w:t>生活饮用水</w:t>
      </w:r>
      <w:r>
        <w:rPr>
          <w:rFonts w:ascii="Times New Roman" w:eastAsia="宋体" w:cs="宋体" w:hint="eastAsia"/>
          <w:szCs w:val="21"/>
        </w:rPr>
        <w:t>确定的修复目标值</w:t>
      </w:r>
      <w:r>
        <w:rPr>
          <w:rFonts w:ascii="Times New Roman" w:eastAsia="宋体" w:cs="宋体" w:hint="eastAsia"/>
          <w:szCs w:val="21"/>
        </w:rPr>
        <w:t>。</w:t>
      </w:r>
    </w:p>
    <w:p w:rsidR="003C2CC0" w:rsidRDefault="00D71428">
      <w:pPr>
        <w:pStyle w:val="affffffa"/>
        <w:numPr>
          <w:ilvl w:val="0"/>
          <w:numId w:val="30"/>
        </w:numPr>
        <w:spacing w:before="240" w:after="240"/>
        <w:ind w:left="0" w:firstLine="0"/>
        <w:rPr>
          <w:color w:val="000000" w:themeColor="text1"/>
        </w:rPr>
      </w:pPr>
      <w:bookmarkStart w:id="71" w:name="_Toc11671"/>
      <w:r>
        <w:rPr>
          <w:rFonts w:hAnsi="黑体" w:cs="黑体" w:hint="eastAsia"/>
          <w:szCs w:val="21"/>
        </w:rPr>
        <w:lastRenderedPageBreak/>
        <w:t>非</w:t>
      </w:r>
      <w:r>
        <w:rPr>
          <w:rFonts w:hAnsi="黑体" w:cs="黑体" w:hint="eastAsia"/>
          <w:szCs w:val="21"/>
        </w:rPr>
        <w:t>放射性特征因子修复</w:t>
      </w:r>
      <w:r>
        <w:rPr>
          <w:rFonts w:hAnsi="黑体" w:cs="黑体" w:hint="eastAsia"/>
          <w:szCs w:val="21"/>
        </w:rPr>
        <w:t>目标值</w:t>
      </w:r>
      <w:bookmarkEnd w:id="71"/>
    </w:p>
    <w:p w:rsidR="003C2CC0" w:rsidRDefault="00D71428">
      <w:pPr>
        <w:pStyle w:val="affffffb"/>
        <w:spacing w:before="120" w:after="120"/>
        <w:outlineLvl w:val="9"/>
        <w:rPr>
          <w:rFonts w:ascii="Times New Roman" w:eastAsia="宋体"/>
          <w:szCs w:val="21"/>
        </w:rPr>
      </w:pPr>
      <w:r>
        <w:rPr>
          <w:rFonts w:hint="eastAsia"/>
          <w:color w:val="000000" w:themeColor="text1"/>
        </w:rPr>
        <w:t>10</w:t>
      </w:r>
      <w:r>
        <w:rPr>
          <w:rFonts w:hint="eastAsia"/>
          <w:color w:val="000000" w:themeColor="text1"/>
        </w:rPr>
        <w:t>.</w:t>
      </w:r>
      <w:r>
        <w:rPr>
          <w:rFonts w:hint="eastAsia"/>
          <w:color w:val="000000" w:themeColor="text1"/>
        </w:rPr>
        <w:t>1</w:t>
      </w:r>
      <w:r>
        <w:rPr>
          <w:rFonts w:hint="eastAsia"/>
          <w:color w:val="000000" w:themeColor="text1"/>
        </w:rPr>
        <w:t xml:space="preserve"> </w:t>
      </w:r>
      <w:r>
        <w:rPr>
          <w:rFonts w:eastAsia="宋体" w:cs="宋体" w:hint="eastAsia"/>
          <w:szCs w:val="21"/>
        </w:rPr>
        <w:t>地下水使用</w:t>
      </w:r>
      <w:r>
        <w:rPr>
          <w:rFonts w:eastAsia="宋体" w:cs="宋体" w:hint="eastAsia"/>
          <w:szCs w:val="21"/>
        </w:rPr>
        <w:t>功能</w:t>
      </w:r>
      <w:r>
        <w:rPr>
          <w:rFonts w:eastAsia="宋体" w:cs="宋体" w:hint="eastAsia"/>
          <w:szCs w:val="21"/>
        </w:rPr>
        <w:t>涉及</w:t>
      </w:r>
      <w:r>
        <w:rPr>
          <w:rFonts w:eastAsia="宋体" w:cs="宋体" w:hint="eastAsia"/>
          <w:szCs w:val="21"/>
        </w:rPr>
        <w:t>生活饮用水的</w:t>
      </w:r>
      <w:r>
        <w:rPr>
          <w:rFonts w:ascii="Times New Roman" w:eastAsia="宋体"/>
          <w:szCs w:val="21"/>
        </w:rPr>
        <w:t>，</w:t>
      </w:r>
      <w:r>
        <w:rPr>
          <w:rFonts w:ascii="Times New Roman" w:eastAsia="宋体" w:hint="eastAsia"/>
          <w:szCs w:val="21"/>
        </w:rPr>
        <w:t>非</w:t>
      </w:r>
      <w:r>
        <w:rPr>
          <w:rFonts w:ascii="Times New Roman" w:eastAsia="宋体" w:cs="宋体" w:hint="eastAsia"/>
          <w:szCs w:val="21"/>
        </w:rPr>
        <w:t>放射性</w:t>
      </w:r>
      <w:r>
        <w:rPr>
          <w:rFonts w:ascii="Times New Roman" w:eastAsia="宋体" w:cs="宋体"/>
          <w:szCs w:val="21"/>
        </w:rPr>
        <w:t>特征因子</w:t>
      </w:r>
      <w:r>
        <w:rPr>
          <w:rFonts w:ascii="Times New Roman" w:eastAsia="宋体" w:cs="宋体" w:hint="eastAsia"/>
          <w:szCs w:val="21"/>
        </w:rPr>
        <w:t>修复目标</w:t>
      </w:r>
      <w:r>
        <w:rPr>
          <w:rFonts w:ascii="Times New Roman" w:eastAsia="宋体"/>
          <w:szCs w:val="21"/>
        </w:rPr>
        <w:t>值执行</w:t>
      </w:r>
      <w:r>
        <w:rPr>
          <w:rFonts w:ascii="Times New Roman" w:eastAsia="宋体"/>
          <w:szCs w:val="21"/>
        </w:rPr>
        <w:t>GB</w:t>
      </w:r>
      <w:r>
        <w:rPr>
          <w:rFonts w:ascii="Times New Roman" w:eastAsia="宋体" w:hint="eastAsia"/>
          <w:szCs w:val="21"/>
        </w:rPr>
        <w:t>5749</w:t>
      </w:r>
      <w:r>
        <w:rPr>
          <w:rFonts w:ascii="Times New Roman" w:eastAsia="宋体" w:cs="宋体"/>
          <w:szCs w:val="21"/>
        </w:rPr>
        <w:t>限值要求</w:t>
      </w:r>
      <w:r>
        <w:rPr>
          <w:rFonts w:ascii="Times New Roman" w:eastAsia="宋体" w:hint="eastAsia"/>
          <w:szCs w:val="21"/>
        </w:rPr>
        <w:t>。</w:t>
      </w:r>
    </w:p>
    <w:p w:rsidR="003C2CC0" w:rsidRDefault="00D71428">
      <w:pPr>
        <w:pStyle w:val="affffffb"/>
        <w:spacing w:before="120" w:after="120"/>
        <w:outlineLvl w:val="9"/>
        <w:rPr>
          <w:color w:val="000000" w:themeColor="text1"/>
        </w:rPr>
      </w:pPr>
      <w:r>
        <w:rPr>
          <w:rFonts w:hint="eastAsia"/>
          <w:color w:val="000000" w:themeColor="text1"/>
        </w:rPr>
        <w:t>10</w:t>
      </w:r>
      <w:r>
        <w:rPr>
          <w:rFonts w:hint="eastAsia"/>
          <w:color w:val="000000" w:themeColor="text1"/>
        </w:rPr>
        <w:t>.</w:t>
      </w:r>
      <w:r>
        <w:rPr>
          <w:rFonts w:hint="eastAsia"/>
          <w:color w:val="000000" w:themeColor="text1"/>
        </w:rPr>
        <w:t>2</w:t>
      </w:r>
      <w:r>
        <w:rPr>
          <w:rFonts w:hint="eastAsia"/>
          <w:color w:val="000000" w:themeColor="text1"/>
        </w:rPr>
        <w:t xml:space="preserve"> </w:t>
      </w:r>
      <w:r>
        <w:rPr>
          <w:rFonts w:eastAsia="宋体" w:cs="宋体" w:hint="eastAsia"/>
          <w:szCs w:val="21"/>
        </w:rPr>
        <w:t>地下水使用</w:t>
      </w:r>
      <w:r>
        <w:rPr>
          <w:rFonts w:eastAsia="宋体" w:cs="宋体" w:hint="eastAsia"/>
          <w:szCs w:val="21"/>
        </w:rPr>
        <w:t>功能</w:t>
      </w:r>
      <w:r>
        <w:rPr>
          <w:rFonts w:eastAsia="宋体" w:cs="宋体" w:hint="eastAsia"/>
          <w:szCs w:val="21"/>
        </w:rPr>
        <w:t>涉及</w:t>
      </w:r>
      <w:r>
        <w:rPr>
          <w:rFonts w:eastAsia="宋体" w:cs="宋体" w:hint="eastAsia"/>
          <w:szCs w:val="21"/>
        </w:rPr>
        <w:t>工</w:t>
      </w:r>
      <w:r>
        <w:rPr>
          <w:rFonts w:eastAsia="宋体" w:cs="宋体" w:hint="eastAsia"/>
          <w:szCs w:val="21"/>
        </w:rPr>
        <w:t>农业用水的</w:t>
      </w:r>
      <w:r>
        <w:rPr>
          <w:rFonts w:ascii="Times New Roman" w:eastAsia="宋体"/>
          <w:szCs w:val="21"/>
        </w:rPr>
        <w:t>，</w:t>
      </w:r>
      <w:r>
        <w:rPr>
          <w:rFonts w:ascii="Times New Roman" w:eastAsia="宋体" w:hint="eastAsia"/>
          <w:szCs w:val="21"/>
        </w:rPr>
        <w:t>非</w:t>
      </w:r>
      <w:r>
        <w:rPr>
          <w:rFonts w:ascii="Times New Roman" w:eastAsia="宋体" w:cs="宋体" w:hint="eastAsia"/>
          <w:szCs w:val="21"/>
        </w:rPr>
        <w:t>放射性</w:t>
      </w:r>
      <w:r>
        <w:rPr>
          <w:rFonts w:ascii="Times New Roman" w:eastAsia="宋体" w:cs="宋体"/>
          <w:szCs w:val="21"/>
        </w:rPr>
        <w:t>特征因子</w:t>
      </w:r>
      <w:r>
        <w:rPr>
          <w:rFonts w:ascii="Times New Roman" w:eastAsia="宋体" w:cs="宋体" w:hint="eastAsia"/>
          <w:szCs w:val="21"/>
        </w:rPr>
        <w:t>修复目标</w:t>
      </w:r>
      <w:r>
        <w:rPr>
          <w:rFonts w:ascii="Times New Roman" w:eastAsia="宋体"/>
          <w:szCs w:val="21"/>
        </w:rPr>
        <w:t>值执行</w:t>
      </w:r>
      <w:r>
        <w:rPr>
          <w:rFonts w:ascii="Times New Roman" w:eastAsia="宋体"/>
          <w:szCs w:val="21"/>
        </w:rPr>
        <w:t>GB/T14848</w:t>
      </w:r>
      <w:r>
        <w:rPr>
          <w:rFonts w:ascii="Times New Roman" w:eastAsia="宋体"/>
          <w:szCs w:val="21"/>
        </w:rPr>
        <w:t>中</w:t>
      </w:r>
      <w:r>
        <w:rPr>
          <w:rFonts w:ascii="Times New Roman" w:eastAsia="宋体"/>
          <w:szCs w:val="21"/>
        </w:rPr>
        <w:t>Ⅳ</w:t>
      </w:r>
      <w:r>
        <w:rPr>
          <w:rFonts w:ascii="Times New Roman" w:eastAsia="宋体"/>
          <w:szCs w:val="21"/>
        </w:rPr>
        <w:t>类限值要求。</w:t>
      </w:r>
    </w:p>
    <w:p w:rsidR="003C2CC0" w:rsidRDefault="00D71428">
      <w:pPr>
        <w:pStyle w:val="affff6"/>
        <w:ind w:firstLineChars="0" w:firstLine="0"/>
        <w:rPr>
          <w:rFonts w:ascii="Times New Roman" w:cs="宋体"/>
          <w:szCs w:val="21"/>
        </w:rPr>
      </w:pPr>
      <w:r>
        <w:rPr>
          <w:rFonts w:ascii="黑体" w:eastAsia="黑体" w:hint="eastAsia"/>
          <w:color w:val="000000" w:themeColor="text1"/>
        </w:rPr>
        <w:t>1</w:t>
      </w:r>
      <w:r>
        <w:rPr>
          <w:rFonts w:ascii="黑体" w:eastAsia="黑体" w:hint="eastAsia"/>
          <w:color w:val="000000" w:themeColor="text1"/>
        </w:rPr>
        <w:t>0</w:t>
      </w:r>
      <w:r>
        <w:rPr>
          <w:rFonts w:ascii="黑体" w:eastAsia="黑体" w:hint="eastAsia"/>
          <w:color w:val="000000" w:themeColor="text1"/>
        </w:rPr>
        <w:t>.</w:t>
      </w:r>
      <w:r>
        <w:rPr>
          <w:rFonts w:ascii="黑体" w:eastAsia="黑体" w:hint="eastAsia"/>
          <w:color w:val="000000" w:themeColor="text1"/>
        </w:rPr>
        <w:t>3</w:t>
      </w:r>
      <w:r>
        <w:rPr>
          <w:rFonts w:ascii="黑体" w:eastAsia="黑体" w:hint="eastAsia"/>
          <w:color w:val="000000" w:themeColor="text1"/>
        </w:rPr>
        <w:t xml:space="preserve"> </w:t>
      </w:r>
      <w:r>
        <w:rPr>
          <w:rFonts w:cs="宋体" w:hint="eastAsia"/>
          <w:szCs w:val="21"/>
        </w:rPr>
        <w:t>地下水使用</w:t>
      </w:r>
      <w:r>
        <w:rPr>
          <w:rFonts w:cs="宋体" w:hint="eastAsia"/>
          <w:szCs w:val="21"/>
        </w:rPr>
        <w:t>功能</w:t>
      </w:r>
      <w:r>
        <w:rPr>
          <w:rFonts w:cs="宋体" w:hint="eastAsia"/>
          <w:szCs w:val="21"/>
        </w:rPr>
        <w:t>涉及工</w:t>
      </w:r>
      <w:r>
        <w:rPr>
          <w:rFonts w:cs="宋体" w:hint="eastAsia"/>
          <w:szCs w:val="21"/>
        </w:rPr>
        <w:t>业用水</w:t>
      </w:r>
      <w:r>
        <w:rPr>
          <w:rFonts w:cs="宋体" w:hint="eastAsia"/>
          <w:szCs w:val="21"/>
        </w:rPr>
        <w:t>中食品工业用水的</w:t>
      </w:r>
      <w:r>
        <w:rPr>
          <w:rFonts w:ascii="Times New Roman" w:cs="宋体" w:hint="eastAsia"/>
          <w:szCs w:val="21"/>
        </w:rPr>
        <w:t>，</w:t>
      </w:r>
      <w:r>
        <w:rPr>
          <w:rFonts w:ascii="Times New Roman" w:cs="宋体" w:hint="eastAsia"/>
          <w:szCs w:val="21"/>
        </w:rPr>
        <w:t>可保守执行</w:t>
      </w:r>
      <w:r>
        <w:rPr>
          <w:rFonts w:cs="宋体" w:hint="eastAsia"/>
          <w:szCs w:val="21"/>
        </w:rPr>
        <w:t>生活饮用水</w:t>
      </w:r>
      <w:r>
        <w:rPr>
          <w:rFonts w:ascii="Times New Roman" w:cs="宋体" w:hint="eastAsia"/>
          <w:szCs w:val="21"/>
        </w:rPr>
        <w:t>确定的修复目标值</w:t>
      </w:r>
      <w:r>
        <w:rPr>
          <w:rFonts w:ascii="Times New Roman" w:cs="宋体" w:hint="eastAsia"/>
          <w:szCs w:val="21"/>
        </w:rPr>
        <w:t>。</w:t>
      </w:r>
    </w:p>
    <w:p w:rsidR="003C2CC0" w:rsidRDefault="00D71428">
      <w:pPr>
        <w:pStyle w:val="affffffa"/>
        <w:numPr>
          <w:ilvl w:val="0"/>
          <w:numId w:val="30"/>
        </w:numPr>
        <w:spacing w:before="240" w:after="240"/>
        <w:ind w:left="0" w:firstLine="0"/>
        <w:rPr>
          <w:rFonts w:hAnsi="黑体" w:cs="黑体"/>
          <w:szCs w:val="21"/>
        </w:rPr>
      </w:pPr>
      <w:bookmarkStart w:id="72" w:name="_Toc19009"/>
      <w:r>
        <w:rPr>
          <w:rFonts w:hAnsi="黑体" w:cs="黑体" w:hint="eastAsia"/>
          <w:szCs w:val="21"/>
        </w:rPr>
        <w:t>管控目标值</w:t>
      </w:r>
      <w:bookmarkEnd w:id="72"/>
    </w:p>
    <w:p w:rsidR="003C2CC0" w:rsidRDefault="00D71428">
      <w:pPr>
        <w:pStyle w:val="affffffb"/>
        <w:spacing w:before="120" w:after="120"/>
        <w:outlineLvl w:val="9"/>
        <w:rPr>
          <w:rFonts w:ascii="Times New Roman" w:eastAsia="宋体" w:cs="宋体"/>
          <w:szCs w:val="21"/>
        </w:rPr>
      </w:pPr>
      <w:bookmarkStart w:id="73" w:name="_Toc148085239"/>
      <w:r>
        <w:rPr>
          <w:rFonts w:hint="eastAsia"/>
          <w:color w:val="000000" w:themeColor="text1"/>
        </w:rPr>
        <w:t>11</w:t>
      </w:r>
      <w:r>
        <w:rPr>
          <w:rFonts w:hint="eastAsia"/>
          <w:color w:val="000000" w:themeColor="text1"/>
        </w:rPr>
        <w:t xml:space="preserve">.1 </w:t>
      </w:r>
      <w:bookmarkEnd w:id="73"/>
      <w:r>
        <w:rPr>
          <w:rFonts w:ascii="Times New Roman" w:eastAsia="宋体" w:cs="宋体" w:hint="eastAsia"/>
          <w:szCs w:val="21"/>
          <w:lang w:val="zh-CN"/>
        </w:rPr>
        <w:t>在合理可行的技术</w:t>
      </w:r>
      <w:r>
        <w:rPr>
          <w:rFonts w:ascii="Times New Roman" w:eastAsia="宋体" w:cs="宋体" w:hint="eastAsia"/>
          <w:szCs w:val="21"/>
        </w:rPr>
        <w:t>水平</w:t>
      </w:r>
      <w:r>
        <w:rPr>
          <w:rFonts w:ascii="Times New Roman" w:eastAsia="宋体" w:cs="宋体" w:hint="eastAsia"/>
          <w:szCs w:val="21"/>
          <w:lang w:val="zh-CN"/>
        </w:rPr>
        <w:t>下</w:t>
      </w:r>
      <w:r>
        <w:rPr>
          <w:rFonts w:ascii="Times New Roman" w:eastAsia="宋体" w:cs="宋体" w:hint="eastAsia"/>
          <w:szCs w:val="21"/>
          <w:lang w:val="zh-CN"/>
        </w:rPr>
        <w:t>，</w:t>
      </w:r>
      <w:r>
        <w:rPr>
          <w:rFonts w:ascii="Times New Roman" w:eastAsia="宋体" w:cs="宋体" w:hint="eastAsia"/>
          <w:szCs w:val="21"/>
        </w:rPr>
        <w:t>预测</w:t>
      </w:r>
      <w:r>
        <w:rPr>
          <w:rFonts w:ascii="Times New Roman" w:eastAsia="宋体" w:cs="宋体" w:hint="eastAsia"/>
          <w:szCs w:val="21"/>
          <w:lang w:val="zh-CN"/>
        </w:rPr>
        <w:t>地下水修复无法满足修复目标值要求</w:t>
      </w:r>
      <w:r>
        <w:rPr>
          <w:rFonts w:ascii="Times New Roman" w:eastAsia="宋体" w:cs="宋体" w:hint="eastAsia"/>
          <w:szCs w:val="21"/>
        </w:rPr>
        <w:t>时</w:t>
      </w:r>
      <w:r>
        <w:rPr>
          <w:rFonts w:ascii="Times New Roman" w:eastAsia="宋体" w:cs="宋体" w:hint="eastAsia"/>
          <w:szCs w:val="21"/>
          <w:lang w:val="zh-CN"/>
        </w:rPr>
        <w:t>，可</w:t>
      </w:r>
      <w:r>
        <w:rPr>
          <w:rFonts w:ascii="Times New Roman" w:eastAsia="宋体" w:cs="宋体" w:hint="eastAsia"/>
          <w:szCs w:val="21"/>
        </w:rPr>
        <w:t>结合</w:t>
      </w:r>
      <w:r>
        <w:rPr>
          <w:rFonts w:ascii="Times New Roman" w:eastAsia="宋体" w:cs="宋体" w:hint="eastAsia"/>
          <w:szCs w:val="21"/>
          <w:lang w:val="zh-CN"/>
        </w:rPr>
        <w:t>区域水文地质条件</w:t>
      </w:r>
      <w:r>
        <w:rPr>
          <w:rFonts w:ascii="Times New Roman" w:eastAsia="宋体" w:cs="宋体" w:hint="eastAsia"/>
          <w:szCs w:val="21"/>
          <w:lang w:val="zh-CN"/>
        </w:rPr>
        <w:t>、</w:t>
      </w:r>
      <w:r>
        <w:rPr>
          <w:rFonts w:ascii="Times New Roman" w:eastAsia="宋体" w:cs="宋体" w:hint="eastAsia"/>
          <w:szCs w:val="21"/>
        </w:rPr>
        <w:t>地下水使用功能现状和规划</w:t>
      </w:r>
      <w:r>
        <w:rPr>
          <w:rFonts w:ascii="Times New Roman" w:eastAsia="宋体" w:cs="宋体" w:hint="eastAsia"/>
          <w:szCs w:val="21"/>
        </w:rPr>
        <w:t>等</w:t>
      </w:r>
      <w:r>
        <w:rPr>
          <w:rFonts w:ascii="Times New Roman" w:eastAsia="宋体" w:cs="宋体" w:hint="eastAsia"/>
          <w:szCs w:val="21"/>
          <w:lang w:val="zh-CN"/>
        </w:rPr>
        <w:t>，</w:t>
      </w:r>
      <w:r>
        <w:rPr>
          <w:rFonts w:ascii="Times New Roman" w:eastAsia="宋体" w:cs="宋体" w:hint="eastAsia"/>
          <w:szCs w:val="21"/>
        </w:rPr>
        <w:t>根据环境管控条件，提出</w:t>
      </w:r>
      <w:r>
        <w:rPr>
          <w:rFonts w:ascii="Times New Roman" w:eastAsia="宋体" w:cs="宋体" w:hint="eastAsia"/>
          <w:szCs w:val="21"/>
          <w:lang w:val="zh-CN"/>
        </w:rPr>
        <w:t>地下水</w:t>
      </w:r>
      <w:r>
        <w:rPr>
          <w:rFonts w:ascii="Times New Roman" w:eastAsia="宋体" w:cs="宋体" w:hint="eastAsia"/>
          <w:szCs w:val="21"/>
        </w:rPr>
        <w:t>修复管控</w:t>
      </w:r>
      <w:r>
        <w:rPr>
          <w:rFonts w:ascii="Times New Roman" w:eastAsia="宋体" w:cs="宋体" w:hint="eastAsia"/>
          <w:szCs w:val="21"/>
          <w:lang w:val="zh-CN"/>
        </w:rPr>
        <w:t>目标值。</w:t>
      </w:r>
    </w:p>
    <w:p w:rsidR="003C2CC0" w:rsidRDefault="00D71428">
      <w:pPr>
        <w:pStyle w:val="affffe"/>
        <w:spacing w:before="120" w:after="120"/>
        <w:outlineLvl w:val="9"/>
        <w:rPr>
          <w:rFonts w:ascii="Times New Roman" w:eastAsia="宋体" w:cs="宋体"/>
          <w:szCs w:val="21"/>
        </w:rPr>
      </w:pPr>
      <w:r>
        <w:rPr>
          <w:rFonts w:hint="eastAsia"/>
          <w:color w:val="000000" w:themeColor="text1"/>
        </w:rPr>
        <w:t>1</w:t>
      </w:r>
      <w:r>
        <w:rPr>
          <w:rFonts w:hint="eastAsia"/>
          <w:color w:val="000000" w:themeColor="text1"/>
        </w:rPr>
        <w:t>1</w:t>
      </w:r>
      <w:r>
        <w:rPr>
          <w:rFonts w:hint="eastAsia"/>
          <w:color w:val="000000" w:themeColor="text1"/>
        </w:rPr>
        <w:t>.</w:t>
      </w:r>
      <w:r>
        <w:rPr>
          <w:rFonts w:hint="eastAsia"/>
          <w:color w:val="000000" w:themeColor="text1"/>
        </w:rPr>
        <w:t>2</w:t>
      </w:r>
      <w:r>
        <w:rPr>
          <w:rFonts w:hint="eastAsia"/>
          <w:color w:val="000000" w:themeColor="text1"/>
        </w:rPr>
        <w:t xml:space="preserve"> </w:t>
      </w:r>
      <w:r>
        <w:rPr>
          <w:rFonts w:ascii="Times New Roman" w:eastAsia="宋体" w:cs="宋体" w:hint="eastAsia"/>
          <w:szCs w:val="21"/>
        </w:rPr>
        <w:t>以</w:t>
      </w:r>
      <w:r>
        <w:rPr>
          <w:rFonts w:ascii="Times New Roman" w:eastAsia="宋体" w:hint="eastAsia"/>
          <w:szCs w:val="21"/>
        </w:rPr>
        <w:t>原开采区域边</w:t>
      </w:r>
      <w:r>
        <w:rPr>
          <w:rFonts w:ascii="Times New Roman" w:eastAsia="宋体" w:cs="宋体" w:hint="eastAsia"/>
          <w:szCs w:val="21"/>
        </w:rPr>
        <w:t>界为基准，</w:t>
      </w:r>
      <w:r>
        <w:rPr>
          <w:rFonts w:ascii="Times New Roman" w:eastAsia="宋体" w:cs="宋体" w:hint="eastAsia"/>
          <w:szCs w:val="21"/>
        </w:rPr>
        <w:t>外</w:t>
      </w:r>
      <w:r>
        <w:rPr>
          <w:rFonts w:ascii="Times New Roman" w:eastAsia="宋体" w:cs="宋体" w:hint="eastAsia"/>
          <w:szCs w:val="21"/>
        </w:rPr>
        <w:t>扩</w:t>
      </w:r>
      <w:r>
        <w:rPr>
          <w:rFonts w:ascii="Times New Roman" w:eastAsia="宋体" w:cs="宋体" w:hint="eastAsia"/>
          <w:szCs w:val="21"/>
        </w:rPr>
        <w:t>至监测井距离的</w:t>
      </w:r>
      <w:r>
        <w:rPr>
          <w:rFonts w:ascii="Times New Roman" w:eastAsia="宋体" w:cs="宋体" w:hint="eastAsia"/>
          <w:szCs w:val="21"/>
        </w:rPr>
        <w:t>范围</w:t>
      </w:r>
      <w:r>
        <w:rPr>
          <w:rFonts w:ascii="Times New Roman" w:eastAsia="宋体" w:cs="宋体" w:hint="eastAsia"/>
          <w:szCs w:val="21"/>
        </w:rPr>
        <w:t>作为</w:t>
      </w:r>
      <w:r>
        <w:rPr>
          <w:rFonts w:ascii="Times New Roman" w:eastAsia="宋体" w:cs="宋体" w:hint="eastAsia"/>
          <w:szCs w:val="21"/>
        </w:rPr>
        <w:t>地下水风险管控范围</w:t>
      </w:r>
      <w:r>
        <w:rPr>
          <w:rFonts w:ascii="Times New Roman" w:eastAsia="宋体" w:cs="宋体" w:hint="eastAsia"/>
          <w:szCs w:val="21"/>
        </w:rPr>
        <w:t>。外</w:t>
      </w:r>
      <w:r>
        <w:rPr>
          <w:rFonts w:ascii="Times New Roman" w:eastAsia="宋体" w:cs="宋体" w:hint="eastAsia"/>
          <w:szCs w:val="21"/>
        </w:rPr>
        <w:t>扩</w:t>
      </w:r>
      <w:r>
        <w:rPr>
          <w:rFonts w:ascii="Times New Roman" w:eastAsia="宋体" w:cs="宋体" w:hint="eastAsia"/>
          <w:szCs w:val="21"/>
        </w:rPr>
        <w:t>距离不宜超过</w:t>
      </w:r>
      <w:r>
        <w:rPr>
          <w:rFonts w:ascii="Times New Roman" w:eastAsia="宋体" w:cs="宋体" w:hint="eastAsia"/>
          <w:szCs w:val="21"/>
        </w:rPr>
        <w:t>GB23727</w:t>
      </w:r>
      <w:r>
        <w:rPr>
          <w:rFonts w:ascii="Times New Roman" w:eastAsia="宋体" w:cs="宋体" w:hint="eastAsia"/>
          <w:szCs w:val="21"/>
        </w:rPr>
        <w:t>规定的最远监测井距离。</w:t>
      </w:r>
    </w:p>
    <w:p w:rsidR="003C2CC0" w:rsidRDefault="00D71428">
      <w:pPr>
        <w:pStyle w:val="affffe"/>
        <w:spacing w:before="120" w:after="120"/>
        <w:outlineLvl w:val="9"/>
        <w:rPr>
          <w:rFonts w:ascii="Times New Roman" w:eastAsia="宋体" w:cs="宋体"/>
          <w:szCs w:val="21"/>
        </w:rPr>
      </w:pPr>
      <w:r>
        <w:rPr>
          <w:rFonts w:hint="eastAsia"/>
          <w:color w:val="000000" w:themeColor="text1"/>
        </w:rPr>
        <w:t xml:space="preserve">11.3 </w:t>
      </w:r>
      <w:r>
        <w:rPr>
          <w:rFonts w:ascii="Times New Roman" w:eastAsia="宋体" w:cs="宋体" w:hint="eastAsia"/>
          <w:szCs w:val="21"/>
        </w:rPr>
        <w:t>按照</w:t>
      </w:r>
      <w:r>
        <w:rPr>
          <w:rFonts w:ascii="Times New Roman" w:eastAsia="宋体" w:cs="宋体" w:hint="eastAsia"/>
          <w:szCs w:val="21"/>
        </w:rPr>
        <w:t>风险管控范围边界处</w:t>
      </w:r>
      <w:r>
        <w:rPr>
          <w:rFonts w:ascii="Times New Roman" w:eastAsia="宋体" w:cs="宋体" w:hint="eastAsia"/>
          <w:szCs w:val="21"/>
        </w:rPr>
        <w:t>目标特征因子峰值</w:t>
      </w:r>
      <w:r>
        <w:rPr>
          <w:rFonts w:ascii="Times New Roman" w:eastAsia="宋体" w:cs="宋体" w:hint="eastAsia"/>
          <w:szCs w:val="21"/>
        </w:rPr>
        <w:t>浓度不超过地下水修复目标值为约束条件，</w:t>
      </w:r>
      <w:r>
        <w:rPr>
          <w:rFonts w:ascii="Times New Roman" w:eastAsia="宋体" w:cs="宋体" w:hint="eastAsia"/>
          <w:szCs w:val="21"/>
        </w:rPr>
        <w:t>通过模型运算推导给出目标特征因子在</w:t>
      </w:r>
      <w:r>
        <w:rPr>
          <w:rFonts w:ascii="Times New Roman" w:eastAsia="宋体" w:hint="eastAsia"/>
          <w:szCs w:val="21"/>
        </w:rPr>
        <w:t>原开采区域</w:t>
      </w:r>
      <w:r>
        <w:rPr>
          <w:rFonts w:ascii="Times New Roman" w:eastAsia="宋体" w:cs="宋体" w:hint="eastAsia"/>
          <w:szCs w:val="21"/>
        </w:rPr>
        <w:t>的</w:t>
      </w:r>
      <w:r>
        <w:rPr>
          <w:rFonts w:ascii="Times New Roman" w:eastAsia="宋体" w:cs="宋体" w:hint="eastAsia"/>
          <w:szCs w:val="21"/>
        </w:rPr>
        <w:t>管控目标值</w:t>
      </w:r>
      <w:r>
        <w:rPr>
          <w:rFonts w:ascii="Times New Roman" w:eastAsia="宋体" w:cs="宋体" w:hint="eastAsia"/>
          <w:szCs w:val="21"/>
        </w:rPr>
        <w:t>。</w:t>
      </w:r>
      <w:r>
        <w:rPr>
          <w:rFonts w:ascii="Times New Roman" w:eastAsia="宋体" w:cs="宋体" w:hint="eastAsia"/>
          <w:szCs w:val="21"/>
        </w:rPr>
        <w:t>常用地下水水流模型和溶质运移模型可参照</w:t>
      </w:r>
      <w:r>
        <w:rPr>
          <w:rFonts w:ascii="Times New Roman" w:eastAsia="宋体" w:cs="宋体" w:hint="eastAsia"/>
          <w:szCs w:val="21"/>
        </w:rPr>
        <w:t>HJ610</w:t>
      </w:r>
      <w:r>
        <w:rPr>
          <w:rFonts w:ascii="Times New Roman" w:eastAsia="宋体" w:cs="宋体" w:hint="eastAsia"/>
          <w:szCs w:val="21"/>
        </w:rPr>
        <w:t>。</w:t>
      </w:r>
    </w:p>
    <w:p w:rsidR="003C2CC0" w:rsidRDefault="00D71428">
      <w:pPr>
        <w:pStyle w:val="affffe"/>
        <w:spacing w:before="120" w:after="120"/>
        <w:outlineLvl w:val="9"/>
        <w:rPr>
          <w:rFonts w:ascii="Times New Roman" w:eastAsia="宋体" w:cs="宋体"/>
          <w:szCs w:val="21"/>
        </w:rPr>
      </w:pPr>
      <w:r>
        <w:rPr>
          <w:rFonts w:hint="eastAsia"/>
          <w:color w:val="000000" w:themeColor="text1"/>
        </w:rPr>
        <w:t xml:space="preserve">11.4 </w:t>
      </w:r>
      <w:r>
        <w:rPr>
          <w:rFonts w:ascii="Times New Roman" w:eastAsia="宋体" w:cs="宋体" w:hint="eastAsia"/>
          <w:szCs w:val="21"/>
          <w:lang w:val="zh-CN"/>
        </w:rPr>
        <w:t>对</w:t>
      </w:r>
      <w:r>
        <w:rPr>
          <w:rFonts w:ascii="Times New Roman" w:eastAsia="宋体" w:cs="宋体" w:hint="eastAsia"/>
          <w:szCs w:val="21"/>
        </w:rPr>
        <w:t>地下水风险管</w:t>
      </w:r>
      <w:proofErr w:type="gramStart"/>
      <w:r>
        <w:rPr>
          <w:rFonts w:ascii="Times New Roman" w:eastAsia="宋体" w:cs="宋体" w:hint="eastAsia"/>
          <w:szCs w:val="21"/>
        </w:rPr>
        <w:t>控</w:t>
      </w:r>
      <w:r>
        <w:rPr>
          <w:rFonts w:ascii="Times New Roman" w:eastAsia="宋体" w:cs="宋体" w:hint="eastAsia"/>
          <w:szCs w:val="21"/>
          <w:lang w:val="zh-CN"/>
        </w:rPr>
        <w:t>区域</w:t>
      </w:r>
      <w:proofErr w:type="gramEnd"/>
      <w:r>
        <w:rPr>
          <w:rFonts w:ascii="Times New Roman" w:eastAsia="宋体" w:cs="宋体" w:hint="eastAsia"/>
          <w:szCs w:val="21"/>
        </w:rPr>
        <w:t>开展</w:t>
      </w:r>
      <w:r>
        <w:rPr>
          <w:rFonts w:ascii="Times New Roman" w:eastAsia="宋体" w:cs="宋体" w:hint="eastAsia"/>
          <w:szCs w:val="21"/>
          <w:lang w:val="zh-CN"/>
        </w:rPr>
        <w:t>长期监测，直至</w:t>
      </w:r>
      <w:bookmarkStart w:id="74" w:name="OLE_LINK8"/>
      <w:r>
        <w:rPr>
          <w:rFonts w:ascii="Times New Roman" w:eastAsia="宋体" w:cs="宋体" w:hint="eastAsia"/>
          <w:szCs w:val="21"/>
        </w:rPr>
        <w:t>目标特征因子</w:t>
      </w:r>
      <w:bookmarkEnd w:id="74"/>
      <w:r>
        <w:rPr>
          <w:rFonts w:ascii="Times New Roman" w:eastAsia="宋体" w:cs="宋体" w:hint="eastAsia"/>
          <w:szCs w:val="21"/>
        </w:rPr>
        <w:t>达到</w:t>
      </w:r>
      <w:r>
        <w:rPr>
          <w:rFonts w:ascii="Times New Roman" w:eastAsia="宋体" w:cs="宋体" w:hint="eastAsia"/>
          <w:szCs w:val="21"/>
        </w:rPr>
        <w:t>地下水修复目标值</w:t>
      </w:r>
      <w:r>
        <w:rPr>
          <w:rFonts w:ascii="Times New Roman" w:eastAsia="宋体" w:cs="宋体" w:hint="eastAsia"/>
          <w:szCs w:val="21"/>
          <w:lang w:val="zh-CN"/>
        </w:rPr>
        <w:t>。</w:t>
      </w:r>
    </w:p>
    <w:p w:rsidR="003C2CC0" w:rsidRDefault="00D71428">
      <w:pPr>
        <w:pStyle w:val="affffffa"/>
        <w:numPr>
          <w:ilvl w:val="0"/>
          <w:numId w:val="30"/>
        </w:numPr>
        <w:spacing w:before="240" w:after="240"/>
        <w:ind w:left="0" w:firstLine="0"/>
        <w:rPr>
          <w:rFonts w:hAnsi="黑体" w:cs="黑体"/>
          <w:szCs w:val="21"/>
        </w:rPr>
      </w:pPr>
      <w:bookmarkStart w:id="75" w:name="_Toc24301"/>
      <w:r>
        <w:rPr>
          <w:rFonts w:hAnsi="黑体" w:cs="黑体" w:hint="eastAsia"/>
          <w:szCs w:val="21"/>
        </w:rPr>
        <w:t>代价利益优化阈值</w:t>
      </w:r>
      <w:bookmarkEnd w:id="75"/>
    </w:p>
    <w:p w:rsidR="003C2CC0" w:rsidRDefault="00D71428">
      <w:pPr>
        <w:pStyle w:val="affffe"/>
        <w:spacing w:before="120" w:after="120"/>
        <w:outlineLvl w:val="9"/>
        <w:rPr>
          <w:rFonts w:ascii="Times New Roman" w:eastAsia="宋体"/>
          <w:szCs w:val="21"/>
        </w:rPr>
      </w:pPr>
      <w:r>
        <w:rPr>
          <w:rFonts w:hint="eastAsia"/>
          <w:color w:val="000000" w:themeColor="text1"/>
        </w:rPr>
        <w:t xml:space="preserve">12.1 </w:t>
      </w:r>
      <w:r>
        <w:rPr>
          <w:rFonts w:ascii="Times New Roman" w:eastAsia="宋体" w:hint="eastAsia"/>
          <w:szCs w:val="21"/>
        </w:rPr>
        <w:t>地下水修复进入拖尾期后</w:t>
      </w:r>
      <w:r>
        <w:rPr>
          <w:rFonts w:ascii="Times New Roman" w:eastAsia="宋体" w:hint="eastAsia"/>
          <w:szCs w:val="21"/>
          <w:lang w:val="zh-CN"/>
        </w:rPr>
        <w:t>，</w:t>
      </w:r>
      <w:r>
        <w:rPr>
          <w:rFonts w:ascii="Times New Roman" w:eastAsia="宋体" w:hint="eastAsia"/>
          <w:szCs w:val="21"/>
        </w:rPr>
        <w:t>在现有的技术水平、合理的时间和资金投入条件下，</w:t>
      </w:r>
      <w:r>
        <w:rPr>
          <w:rFonts w:ascii="Times New Roman" w:eastAsia="宋体" w:cs="宋体" w:hint="eastAsia"/>
          <w:szCs w:val="21"/>
        </w:rPr>
        <w:t>目标特征因子</w:t>
      </w:r>
      <w:r>
        <w:rPr>
          <w:rFonts w:ascii="Times New Roman" w:eastAsia="宋体" w:hint="eastAsia"/>
          <w:szCs w:val="21"/>
        </w:rPr>
        <w:t>难以达到管控目标值时，宜根据环境、技术、经济约束条件进行综合评估，提出</w:t>
      </w:r>
      <w:r>
        <w:rPr>
          <w:rFonts w:ascii="Times New Roman" w:eastAsia="宋体" w:cs="宋体" w:hint="eastAsia"/>
          <w:szCs w:val="21"/>
          <w:lang w:val="zh-CN"/>
        </w:rPr>
        <w:t>地下水</w:t>
      </w:r>
      <w:r>
        <w:rPr>
          <w:rFonts w:ascii="Times New Roman" w:eastAsia="宋体" w:hint="eastAsia"/>
          <w:szCs w:val="21"/>
        </w:rPr>
        <w:t>修复代价利益优化阈值。</w:t>
      </w:r>
    </w:p>
    <w:p w:rsidR="003C2CC0" w:rsidRDefault="00D71428">
      <w:pPr>
        <w:pStyle w:val="affffe"/>
        <w:spacing w:before="120" w:after="120"/>
        <w:outlineLvl w:val="9"/>
        <w:rPr>
          <w:color w:val="000000" w:themeColor="text1"/>
        </w:rPr>
      </w:pPr>
      <w:r>
        <w:rPr>
          <w:rFonts w:hint="eastAsia"/>
          <w:color w:val="000000" w:themeColor="text1"/>
        </w:rPr>
        <w:t xml:space="preserve">12.2 </w:t>
      </w:r>
      <w:r>
        <w:rPr>
          <w:rFonts w:ascii="Times New Roman" w:eastAsia="宋体" w:cs="宋体" w:hint="eastAsia"/>
          <w:szCs w:val="21"/>
        </w:rPr>
        <w:t>目标特征因子满足</w:t>
      </w:r>
      <w:r>
        <w:rPr>
          <w:rFonts w:ascii="Times New Roman" w:eastAsia="宋体" w:hint="eastAsia"/>
          <w:szCs w:val="21"/>
        </w:rPr>
        <w:t>代价利益优化阈值要求后，对</w:t>
      </w:r>
      <w:r>
        <w:rPr>
          <w:rFonts w:ascii="Times New Roman" w:eastAsia="宋体" w:cs="宋体" w:hint="eastAsia"/>
          <w:szCs w:val="21"/>
        </w:rPr>
        <w:t>地下水风险管</w:t>
      </w:r>
      <w:proofErr w:type="gramStart"/>
      <w:r>
        <w:rPr>
          <w:rFonts w:ascii="Times New Roman" w:eastAsia="宋体" w:cs="宋体" w:hint="eastAsia"/>
          <w:szCs w:val="21"/>
        </w:rPr>
        <w:t>控</w:t>
      </w:r>
      <w:r>
        <w:rPr>
          <w:rFonts w:ascii="Times New Roman" w:eastAsia="宋体" w:cs="宋体" w:hint="eastAsia"/>
          <w:szCs w:val="21"/>
          <w:lang w:val="zh-CN"/>
        </w:rPr>
        <w:t>区域</w:t>
      </w:r>
      <w:proofErr w:type="gramEnd"/>
      <w:r>
        <w:rPr>
          <w:rFonts w:ascii="Times New Roman" w:eastAsia="宋体" w:cs="宋体" w:hint="eastAsia"/>
          <w:szCs w:val="21"/>
        </w:rPr>
        <w:t>开展</w:t>
      </w:r>
      <w:r>
        <w:rPr>
          <w:rFonts w:ascii="Times New Roman" w:eastAsia="宋体" w:cs="宋体" w:hint="eastAsia"/>
          <w:szCs w:val="21"/>
          <w:lang w:val="zh-CN"/>
        </w:rPr>
        <w:t>长期监测，直至</w:t>
      </w:r>
      <w:r>
        <w:rPr>
          <w:rFonts w:ascii="Times New Roman" w:eastAsia="宋体" w:cs="宋体" w:hint="eastAsia"/>
          <w:szCs w:val="21"/>
        </w:rPr>
        <w:t>目标特征因子达到</w:t>
      </w:r>
      <w:r>
        <w:rPr>
          <w:rFonts w:ascii="Times New Roman" w:eastAsia="宋体" w:cs="宋体" w:hint="eastAsia"/>
          <w:szCs w:val="21"/>
        </w:rPr>
        <w:t>地下水修复目标值</w:t>
      </w:r>
      <w:r>
        <w:rPr>
          <w:rFonts w:ascii="Times New Roman" w:eastAsia="宋体" w:cs="宋体" w:hint="eastAsia"/>
          <w:szCs w:val="21"/>
          <w:lang w:val="zh-CN"/>
        </w:rPr>
        <w:t>。</w:t>
      </w:r>
    </w:p>
    <w:p w:rsidR="003C2CC0" w:rsidRDefault="003C2CC0">
      <w:pPr>
        <w:pStyle w:val="affffe"/>
        <w:spacing w:before="120" w:after="120"/>
        <w:outlineLvl w:val="9"/>
        <w:rPr>
          <w:rFonts w:ascii="Times New Roman" w:eastAsia="宋体"/>
          <w:szCs w:val="21"/>
        </w:rPr>
      </w:pPr>
    </w:p>
    <w:p w:rsidR="003C2CC0" w:rsidRDefault="003C2CC0">
      <w:pPr>
        <w:pStyle w:val="affffe"/>
        <w:spacing w:before="120" w:after="120"/>
        <w:rPr>
          <w:rFonts w:ascii="Times New Roman" w:eastAsia="宋体" w:cs="宋体"/>
          <w:szCs w:val="21"/>
        </w:rPr>
      </w:pPr>
    </w:p>
    <w:p w:rsidR="003C2CC0" w:rsidRDefault="003C2CC0">
      <w:pPr>
        <w:pStyle w:val="affff6"/>
        <w:ind w:firstLineChars="0" w:firstLine="0"/>
        <w:rPr>
          <w:color w:val="000000" w:themeColor="text1"/>
        </w:rPr>
      </w:pPr>
    </w:p>
    <w:p w:rsidR="003C2CC0" w:rsidRDefault="003C2CC0">
      <w:pPr>
        <w:pStyle w:val="affff6"/>
        <w:ind w:firstLine="420"/>
        <w:rPr>
          <w:color w:val="000000" w:themeColor="text1"/>
        </w:rPr>
        <w:sectPr w:rsidR="003C2CC0">
          <w:pgSz w:w="11906" w:h="16838"/>
          <w:pgMar w:top="1928" w:right="1134" w:bottom="1134" w:left="1134" w:header="1418" w:footer="1134" w:gutter="284"/>
          <w:pgNumType w:start="1"/>
          <w:cols w:space="425"/>
          <w:formProt w:val="0"/>
          <w:docGrid w:linePitch="312"/>
        </w:sectPr>
      </w:pPr>
    </w:p>
    <w:p w:rsidR="003C2CC0" w:rsidRDefault="00D71428">
      <w:pPr>
        <w:pStyle w:val="afffff8"/>
        <w:spacing w:after="120"/>
        <w:rPr>
          <w:color w:val="000000" w:themeColor="text1"/>
        </w:rPr>
      </w:pPr>
      <w:bookmarkStart w:id="76" w:name="_Toc27678"/>
      <w:bookmarkStart w:id="77" w:name="_Toc174524648"/>
      <w:bookmarkStart w:id="78" w:name="BookMark8"/>
      <w:bookmarkEnd w:id="27"/>
      <w:r>
        <w:rPr>
          <w:rFonts w:hint="eastAsia"/>
          <w:color w:val="000000" w:themeColor="text1"/>
        </w:rPr>
        <w:lastRenderedPageBreak/>
        <w:t>附</w:t>
      </w:r>
      <w:r>
        <w:rPr>
          <w:rFonts w:hint="eastAsia"/>
          <w:color w:val="000000" w:themeColor="text1"/>
        </w:rPr>
        <w:t xml:space="preserve"> </w:t>
      </w:r>
      <w:r>
        <w:rPr>
          <w:rFonts w:hint="eastAsia"/>
          <w:color w:val="000000" w:themeColor="text1"/>
        </w:rPr>
        <w:t>录</w:t>
      </w:r>
      <w:r>
        <w:rPr>
          <w:rFonts w:hint="eastAsia"/>
          <w:color w:val="000000" w:themeColor="text1"/>
        </w:rPr>
        <w:t xml:space="preserve"> </w:t>
      </w:r>
      <w:r>
        <w:rPr>
          <w:rFonts w:hint="eastAsia"/>
          <w:color w:val="000000" w:themeColor="text1"/>
        </w:rPr>
        <w:t>A</w:t>
      </w:r>
      <w:r>
        <w:rPr>
          <w:color w:val="000000" w:themeColor="text1"/>
        </w:rPr>
        <w:br/>
      </w:r>
      <w:r>
        <w:rPr>
          <w:rFonts w:hint="eastAsia"/>
          <w:color w:val="000000" w:themeColor="text1"/>
        </w:rPr>
        <w:t>（</w:t>
      </w:r>
      <w:r>
        <w:rPr>
          <w:rFonts w:hint="eastAsia"/>
          <w:color w:val="000000" w:themeColor="text1"/>
        </w:rPr>
        <w:t>资料</w:t>
      </w:r>
      <w:r>
        <w:rPr>
          <w:rFonts w:hint="eastAsia"/>
          <w:color w:val="000000" w:themeColor="text1"/>
        </w:rPr>
        <w:t>性）</w:t>
      </w:r>
      <w:r>
        <w:rPr>
          <w:color w:val="000000" w:themeColor="text1"/>
        </w:rPr>
        <w:br/>
      </w:r>
      <w:r>
        <w:rPr>
          <w:rFonts w:ascii="Times New Roman"/>
        </w:rPr>
        <w:t>地下水修复目标值确定</w:t>
      </w:r>
      <w:r>
        <w:rPr>
          <w:rFonts w:hint="eastAsia"/>
          <w:color w:val="000000" w:themeColor="text1"/>
        </w:rPr>
        <w:t>工作程序图</w:t>
      </w:r>
      <w:bookmarkEnd w:id="76"/>
    </w:p>
    <w:p w:rsidR="003C2CC0" w:rsidRDefault="003C2CC0">
      <w:pPr>
        <w:spacing w:line="240" w:lineRule="auto"/>
        <w:rPr>
          <w:rFonts w:ascii="Times New Roman" w:hAnsi="Times New Roman"/>
          <w:lang w:val="zh-CN"/>
        </w:rPr>
      </w:pPr>
    </w:p>
    <w:p w:rsidR="003C2CC0" w:rsidRDefault="003C2CC0">
      <w:pPr>
        <w:spacing w:line="240" w:lineRule="auto"/>
        <w:rPr>
          <w:rFonts w:ascii="Times New Roman" w:hAnsi="Times New Roman"/>
          <w:lang w:val="zh-CN"/>
        </w:rPr>
      </w:pPr>
    </w:p>
    <w:p w:rsidR="003C2CC0" w:rsidRDefault="00D71428">
      <w:pPr>
        <w:spacing w:line="240" w:lineRule="auto"/>
        <w:jc w:val="center"/>
      </w:pPr>
      <w:r>
        <w:object w:dxaOrig="8302" w:dyaOrig="9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5.1pt;height:490.85pt" o:ole="">
            <v:imagedata r:id="rId20" o:title=""/>
          </v:shape>
          <o:OLEObject Type="Embed" ProgID="Visio.Drawing.11" ShapeID="_x0000_i1028" DrawAspect="Content" ObjectID="_1844839993" r:id="rId21"/>
        </w:object>
      </w:r>
    </w:p>
    <w:p w:rsidR="003C2CC0" w:rsidRDefault="003C2CC0">
      <w:pPr>
        <w:spacing w:line="240" w:lineRule="auto"/>
        <w:jc w:val="center"/>
      </w:pPr>
    </w:p>
    <w:p w:rsidR="003C2CC0" w:rsidRDefault="00D71428">
      <w:pPr>
        <w:spacing w:line="240" w:lineRule="auto"/>
        <w:jc w:val="center"/>
      </w:pPr>
      <w:r>
        <w:rPr>
          <w:rFonts w:ascii="Times New Roman" w:hAnsi="Times New Roman"/>
        </w:rPr>
        <w:t>图</w:t>
      </w:r>
      <w:r>
        <w:rPr>
          <w:rFonts w:ascii="Times New Roman" w:hAnsi="Times New Roman"/>
        </w:rPr>
        <w:t xml:space="preserve">1 </w:t>
      </w:r>
      <w:r>
        <w:rPr>
          <w:rFonts w:ascii="Times New Roman" w:hAnsi="Times New Roman" w:hint="eastAsia"/>
        </w:rPr>
        <w:t xml:space="preserve"> </w:t>
      </w:r>
      <w:bookmarkStart w:id="79" w:name="OLE_LINK7"/>
      <w:r>
        <w:rPr>
          <w:rFonts w:ascii="Times New Roman" w:hAnsi="Times New Roman"/>
        </w:rPr>
        <w:t>地下水修复目标值确定</w:t>
      </w:r>
      <w:bookmarkEnd w:id="79"/>
      <w:r>
        <w:rPr>
          <w:rFonts w:ascii="Times New Roman" w:hAnsi="Times New Roman"/>
        </w:rPr>
        <w:t>工作程序图</w:t>
      </w:r>
    </w:p>
    <w:p w:rsidR="003C2CC0" w:rsidRDefault="003C2CC0">
      <w:pPr>
        <w:pStyle w:val="afffff8"/>
        <w:spacing w:after="120"/>
        <w:rPr>
          <w:color w:val="000000" w:themeColor="text1"/>
        </w:rPr>
        <w:sectPr w:rsidR="003C2CC0">
          <w:pgSz w:w="11906" w:h="16838"/>
          <w:pgMar w:top="1928" w:right="1134" w:bottom="1134" w:left="1134" w:header="1418" w:footer="1134" w:gutter="284"/>
          <w:cols w:space="425"/>
          <w:formProt w:val="0"/>
          <w:docGrid w:linePitch="312"/>
        </w:sectPr>
      </w:pPr>
    </w:p>
    <w:p w:rsidR="003C2CC0" w:rsidRDefault="00D71428">
      <w:pPr>
        <w:pStyle w:val="afffff8"/>
        <w:spacing w:after="120"/>
        <w:rPr>
          <w:color w:val="000000" w:themeColor="text1"/>
        </w:rPr>
      </w:pPr>
      <w:bookmarkStart w:id="80" w:name="_Toc350"/>
      <w:r>
        <w:rPr>
          <w:rFonts w:hint="eastAsia"/>
          <w:color w:val="000000" w:themeColor="text1"/>
        </w:rPr>
        <w:lastRenderedPageBreak/>
        <w:t>附</w:t>
      </w:r>
      <w:r>
        <w:rPr>
          <w:rFonts w:hint="eastAsia"/>
          <w:color w:val="000000" w:themeColor="text1"/>
        </w:rPr>
        <w:t xml:space="preserve"> </w:t>
      </w:r>
      <w:r>
        <w:rPr>
          <w:rFonts w:hint="eastAsia"/>
          <w:color w:val="000000" w:themeColor="text1"/>
        </w:rPr>
        <w:t>录</w:t>
      </w:r>
      <w:r>
        <w:rPr>
          <w:rFonts w:hint="eastAsia"/>
          <w:color w:val="000000" w:themeColor="text1"/>
        </w:rPr>
        <w:t xml:space="preserve"> </w:t>
      </w:r>
      <w:r>
        <w:rPr>
          <w:rFonts w:hint="eastAsia"/>
          <w:color w:val="000000" w:themeColor="text1"/>
        </w:rPr>
        <w:t>B</w:t>
      </w:r>
      <w:r>
        <w:rPr>
          <w:color w:val="000000" w:themeColor="text1"/>
        </w:rPr>
        <w:br/>
      </w:r>
      <w:bookmarkStart w:id="81" w:name="_Toc126658371"/>
      <w:r>
        <w:rPr>
          <w:rFonts w:hint="eastAsia"/>
          <w:color w:val="000000" w:themeColor="text1"/>
        </w:rPr>
        <w:t>（</w:t>
      </w:r>
      <w:r>
        <w:rPr>
          <w:rFonts w:hint="eastAsia"/>
          <w:color w:val="000000" w:themeColor="text1"/>
        </w:rPr>
        <w:t>资料</w:t>
      </w:r>
      <w:r>
        <w:rPr>
          <w:rFonts w:hint="eastAsia"/>
          <w:color w:val="000000" w:themeColor="text1"/>
        </w:rPr>
        <w:t>性）</w:t>
      </w:r>
      <w:r>
        <w:rPr>
          <w:color w:val="000000" w:themeColor="text1"/>
        </w:rPr>
        <w:br/>
      </w:r>
      <w:bookmarkEnd w:id="77"/>
      <w:bookmarkEnd w:id="81"/>
      <w:r>
        <w:rPr>
          <w:rFonts w:hint="eastAsia"/>
          <w:color w:val="000000" w:themeColor="text1"/>
        </w:rPr>
        <w:t>放射性</w:t>
      </w:r>
      <w:r>
        <w:rPr>
          <w:rFonts w:hint="eastAsia"/>
          <w:color w:val="000000" w:themeColor="text1"/>
        </w:rPr>
        <w:t>核素</w:t>
      </w:r>
      <w:r>
        <w:rPr>
          <w:rFonts w:hint="eastAsia"/>
          <w:color w:val="000000" w:themeColor="text1"/>
        </w:rPr>
        <w:t>可接受浓度计算推荐模型</w:t>
      </w:r>
      <w:bookmarkEnd w:id="80"/>
    </w:p>
    <w:p w:rsidR="003C2CC0" w:rsidRDefault="003C2CC0">
      <w:pPr>
        <w:pStyle w:val="affff6"/>
        <w:ind w:firstLineChars="0" w:firstLine="0"/>
      </w:pPr>
    </w:p>
    <w:p w:rsidR="003C2CC0" w:rsidRDefault="00D71428">
      <w:pPr>
        <w:adjustRightInd/>
        <w:spacing w:beforeLines="50" w:before="120" w:line="360" w:lineRule="auto"/>
        <w:rPr>
          <w:rFonts w:ascii="Times New Roman" w:hAnsi="Times New Roman"/>
          <w:b/>
          <w:kern w:val="0"/>
        </w:rPr>
      </w:pPr>
      <w:r>
        <w:rPr>
          <w:rFonts w:ascii="Times New Roman" w:hAnsi="Times New Roman" w:hint="eastAsia"/>
          <w:b/>
          <w:kern w:val="0"/>
        </w:rPr>
        <w:t>B</w:t>
      </w:r>
      <w:r>
        <w:rPr>
          <w:rFonts w:ascii="Times New Roman" w:hAnsi="Times New Roman"/>
          <w:b/>
          <w:kern w:val="0"/>
        </w:rPr>
        <w:t>.1</w:t>
      </w:r>
      <w:r>
        <w:rPr>
          <w:rFonts w:ascii="Times New Roman" w:hAnsi="Times New Roman"/>
          <w:b/>
          <w:kern w:val="0"/>
        </w:rPr>
        <w:t>地下水不同使用功能</w:t>
      </w:r>
      <w:r>
        <w:rPr>
          <w:rFonts w:ascii="Times New Roman" w:hAnsi="Times New Roman"/>
          <w:b/>
          <w:kern w:val="0"/>
        </w:rPr>
        <w:t>下考虑的</w:t>
      </w:r>
      <w:r>
        <w:rPr>
          <w:rFonts w:ascii="Times New Roman" w:hAnsi="Times New Roman"/>
          <w:b/>
          <w:kern w:val="0"/>
        </w:rPr>
        <w:t>暴露途径</w:t>
      </w:r>
    </w:p>
    <w:p w:rsidR="003C2CC0" w:rsidRDefault="00D71428">
      <w:pPr>
        <w:ind w:firstLine="480"/>
        <w:rPr>
          <w:rFonts w:ascii="Times New Roman" w:hAnsi="Times New Roman"/>
        </w:rPr>
      </w:pPr>
      <w:r>
        <w:rPr>
          <w:rFonts w:ascii="Times New Roman" w:hAnsi="Times New Roman"/>
        </w:rPr>
        <w:t>放射性</w:t>
      </w:r>
      <w:r>
        <w:rPr>
          <w:rFonts w:ascii="Times New Roman" w:hAnsi="Times New Roman"/>
        </w:rPr>
        <w:t>核素</w:t>
      </w:r>
      <w:r>
        <w:rPr>
          <w:rFonts w:ascii="Times New Roman" w:hAnsi="Times New Roman"/>
        </w:rPr>
        <w:t>产生</w:t>
      </w:r>
      <w:r>
        <w:rPr>
          <w:rFonts w:ascii="Times New Roman" w:hAnsi="Times New Roman"/>
        </w:rPr>
        <w:t>致病</w:t>
      </w:r>
      <w:r>
        <w:rPr>
          <w:rFonts w:ascii="Times New Roman" w:hAnsi="Times New Roman"/>
        </w:rPr>
        <w:t>风险的途径</w:t>
      </w:r>
      <w:r>
        <w:rPr>
          <w:rFonts w:ascii="Times New Roman" w:hAnsi="Times New Roman"/>
        </w:rPr>
        <w:t>主要</w:t>
      </w:r>
      <w:r>
        <w:rPr>
          <w:rFonts w:ascii="Times New Roman" w:hAnsi="Times New Roman"/>
        </w:rPr>
        <w:t>包括饮水途径</w:t>
      </w:r>
      <w:r>
        <w:rPr>
          <w:rFonts w:ascii="Times New Roman" w:hAnsi="Times New Roman"/>
        </w:rPr>
        <w:t>和灌溉途径，通过灌溉途径进一步形成</w:t>
      </w:r>
      <w:r>
        <w:rPr>
          <w:rFonts w:ascii="Times New Roman" w:hAnsi="Times New Roman" w:hint="eastAsia"/>
        </w:rPr>
        <w:t>食入</w:t>
      </w:r>
      <w:r>
        <w:rPr>
          <w:rFonts w:ascii="Times New Roman" w:hAnsi="Times New Roman"/>
        </w:rPr>
        <w:t>农产品途径</w:t>
      </w:r>
      <w:r>
        <w:rPr>
          <w:rFonts w:ascii="Times New Roman" w:hAnsi="Times New Roman"/>
        </w:rPr>
        <w:t>、</w:t>
      </w:r>
      <w:r>
        <w:rPr>
          <w:rFonts w:ascii="Times New Roman" w:hAnsi="Times New Roman" w:hint="eastAsia"/>
        </w:rPr>
        <w:t>食入</w:t>
      </w:r>
      <w:r>
        <w:rPr>
          <w:rFonts w:ascii="Times New Roman" w:hAnsi="Times New Roman"/>
        </w:rPr>
        <w:t>动物产品途径</w:t>
      </w:r>
      <w:r>
        <w:rPr>
          <w:rFonts w:ascii="Times New Roman" w:hAnsi="Times New Roman"/>
        </w:rPr>
        <w:t>。</w:t>
      </w:r>
      <w:r>
        <w:rPr>
          <w:rFonts w:ascii="Times New Roman" w:hAnsi="Times New Roman"/>
        </w:rPr>
        <w:t>考虑到饮水途径已给出明确的标准限值，这里列出的</w:t>
      </w:r>
      <w:r>
        <w:rPr>
          <w:rFonts w:ascii="Times New Roman" w:hAnsi="Times New Roman"/>
        </w:rPr>
        <w:t>饮水途径计算推荐模型仅供参考。</w:t>
      </w:r>
    </w:p>
    <w:p w:rsidR="003C2CC0" w:rsidRDefault="00D71428">
      <w:pPr>
        <w:adjustRightInd/>
        <w:spacing w:beforeLines="50" w:before="120" w:line="360" w:lineRule="auto"/>
        <w:rPr>
          <w:rFonts w:ascii="Times New Roman" w:hAnsi="Times New Roman"/>
          <w:b/>
          <w:kern w:val="0"/>
        </w:rPr>
      </w:pPr>
      <w:r>
        <w:rPr>
          <w:rFonts w:ascii="Times New Roman" w:hAnsi="Times New Roman" w:hint="eastAsia"/>
          <w:b/>
          <w:kern w:val="0"/>
        </w:rPr>
        <w:t>B</w:t>
      </w:r>
      <w:r>
        <w:rPr>
          <w:rFonts w:ascii="Times New Roman" w:hAnsi="Times New Roman"/>
          <w:b/>
          <w:kern w:val="0"/>
        </w:rPr>
        <w:t>.2</w:t>
      </w:r>
      <w:proofErr w:type="gramStart"/>
      <w:r>
        <w:rPr>
          <w:rFonts w:ascii="Times New Roman" w:hAnsi="Times New Roman"/>
          <w:b/>
          <w:kern w:val="0"/>
        </w:rPr>
        <w:t>各</w:t>
      </w:r>
      <w:proofErr w:type="gramEnd"/>
      <w:r>
        <w:rPr>
          <w:rFonts w:ascii="Times New Roman" w:hAnsi="Times New Roman"/>
          <w:b/>
          <w:kern w:val="0"/>
        </w:rPr>
        <w:t>暴露途径下的推荐模型</w:t>
      </w:r>
    </w:p>
    <w:p w:rsidR="003C2CC0" w:rsidRDefault="00D71428">
      <w:pPr>
        <w:adjustRightInd/>
        <w:spacing w:line="360" w:lineRule="auto"/>
        <w:rPr>
          <w:rFonts w:ascii="Times New Roman" w:hAnsi="Times New Roman"/>
          <w:b/>
          <w:kern w:val="0"/>
        </w:rPr>
      </w:pPr>
      <w:r>
        <w:rPr>
          <w:rFonts w:ascii="Times New Roman" w:hAnsi="Times New Roman" w:hint="eastAsia"/>
          <w:b/>
          <w:kern w:val="0"/>
        </w:rPr>
        <w:t>B</w:t>
      </w:r>
      <w:r>
        <w:rPr>
          <w:rFonts w:ascii="Times New Roman" w:hAnsi="Times New Roman"/>
          <w:b/>
          <w:kern w:val="0"/>
        </w:rPr>
        <w:t>.2.1</w:t>
      </w:r>
      <w:r>
        <w:rPr>
          <w:rFonts w:ascii="Times New Roman" w:hAnsi="Times New Roman"/>
          <w:b/>
          <w:kern w:val="0"/>
        </w:rPr>
        <w:t>饮水</w:t>
      </w:r>
      <w:r>
        <w:rPr>
          <w:rFonts w:ascii="Times New Roman" w:hAnsi="Times New Roman"/>
          <w:b/>
          <w:kern w:val="0"/>
        </w:rPr>
        <w:t>途径计算推荐模型</w:t>
      </w:r>
    </w:p>
    <w:p w:rsidR="003C2CC0" w:rsidRDefault="00D71428">
      <w:pPr>
        <w:adjustRightInd/>
        <w:spacing w:line="360" w:lineRule="auto"/>
        <w:rPr>
          <w:rFonts w:ascii="Times New Roman" w:hAnsi="Times New Roman"/>
        </w:rPr>
      </w:pPr>
      <w:r>
        <w:rPr>
          <w:rFonts w:ascii="Times New Roman" w:hAnsi="Times New Roman" w:hint="eastAsia"/>
          <w:kern w:val="0"/>
        </w:rPr>
        <w:t>B</w:t>
      </w:r>
      <w:r>
        <w:rPr>
          <w:rFonts w:ascii="Times New Roman" w:hAnsi="Times New Roman"/>
          <w:kern w:val="0"/>
        </w:rPr>
        <w:t>.2.</w:t>
      </w:r>
      <w:r>
        <w:rPr>
          <w:rFonts w:ascii="Times New Roman" w:hAnsi="Times New Roman"/>
          <w:kern w:val="0"/>
        </w:rPr>
        <w:t>1.1</w:t>
      </w:r>
      <w:r>
        <w:rPr>
          <w:rFonts w:ascii="Times New Roman" w:hAnsi="Times New Roman"/>
        </w:rPr>
        <w:t>居民通过直接摄入地下水的</w:t>
      </w:r>
      <w:r>
        <w:rPr>
          <w:rFonts w:ascii="Times New Roman" w:hAnsi="Times New Roman"/>
        </w:rPr>
        <w:t>放射性核素</w:t>
      </w:r>
      <w:r>
        <w:rPr>
          <w:rFonts w:ascii="Times New Roman" w:hAnsi="Times New Roman"/>
        </w:rPr>
        <w:t>摄入量</w:t>
      </w:r>
    </w:p>
    <w:p w:rsidR="003C2CC0" w:rsidRDefault="00D71428">
      <w:pPr>
        <w:widowControl/>
        <w:jc w:val="center"/>
        <w:rPr>
          <w:rFonts w:ascii="Times New Roman" w:hAnsi="Times New Roman"/>
          <w:color w:val="1F2329"/>
          <w:kern w:val="0"/>
          <w:szCs w:val="24"/>
        </w:rPr>
      </w:pPr>
      <m:oMathPara>
        <m:oMath>
          <m:sSub>
            <m:sSubPr>
              <m:ctrlPr>
                <w:rPr>
                  <w:rFonts w:ascii="Cambria Math" w:hAnsi="Cambria Math"/>
                  <w:i/>
                  <w:color w:val="1F2329"/>
                  <w:kern w:val="0"/>
                  <w:szCs w:val="24"/>
                </w:rPr>
              </m:ctrlPr>
            </m:sSubPr>
            <m:e>
              <m:r>
                <w:rPr>
                  <w:rFonts w:ascii="Cambria Math" w:hAnsi="Cambria Math"/>
                  <w:color w:val="1F2329"/>
                  <w:kern w:val="0"/>
                  <w:szCs w:val="24"/>
                </w:rPr>
                <m:t>I</m:t>
              </m:r>
            </m:e>
            <m:sub>
              <m:r>
                <w:rPr>
                  <w:rFonts w:ascii="Cambria Math" w:hAnsi="Cambria Math"/>
                  <w:color w:val="1F2329"/>
                  <w:kern w:val="0"/>
                  <w:szCs w:val="24"/>
                </w:rPr>
                <m:t>U</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W</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I</m:t>
              </m:r>
            </m:e>
            <m:sub>
              <m:r>
                <w:rPr>
                  <w:rFonts w:ascii="Cambria Math" w:hAnsi="Cambria Math"/>
                  <w:color w:val="1F2329"/>
                  <w:kern w:val="0"/>
                  <w:szCs w:val="24"/>
                </w:rPr>
                <m:t>W</m:t>
              </m:r>
            </m:sub>
          </m:sSub>
          <m:r>
            <w:rPr>
              <w:rFonts w:ascii="Cambria Math" w:hAnsi="Cambria Math"/>
              <w:color w:val="1F2329"/>
              <w:kern w:val="0"/>
              <w:szCs w:val="24"/>
            </w:rPr>
            <m:t>*</m:t>
          </m:r>
          <m:r>
            <w:rPr>
              <w:rFonts w:ascii="Cambria Math" w:hAnsi="Cambria Math"/>
              <w:color w:val="1F2329"/>
              <w:kern w:val="0"/>
              <w:szCs w:val="24"/>
            </w:rPr>
            <m:t>365</m:t>
          </m:r>
          <m:r>
            <w:rPr>
              <w:rFonts w:ascii="Cambria Math" w:hAnsi="Cambria Math"/>
              <w:color w:val="1F2329"/>
              <w:kern w:val="0"/>
              <w:szCs w:val="24"/>
            </w:rPr>
            <m:t>d</m:t>
          </m:r>
          <m:r>
            <w:rPr>
              <w:rFonts w:ascii="Cambria Math" w:hAnsi="Cambria Math"/>
              <w:color w:val="1F2329"/>
              <w:kern w:val="0"/>
              <w:szCs w:val="24"/>
            </w:rPr>
            <m:t>∙</m:t>
          </m:r>
          <m:sSup>
            <m:sSupPr>
              <m:ctrlPr>
                <w:rPr>
                  <w:rFonts w:ascii="Cambria Math" w:hAnsi="Cambria Math"/>
                  <w:i/>
                  <w:color w:val="1F2329"/>
                  <w:kern w:val="0"/>
                  <w:szCs w:val="24"/>
                </w:rPr>
              </m:ctrlPr>
            </m:sSupPr>
            <m:e>
              <m:r>
                <w:rPr>
                  <w:rFonts w:ascii="Cambria Math" w:hAnsi="Cambria Math"/>
                  <w:color w:val="1F2329"/>
                  <w:kern w:val="0"/>
                  <w:szCs w:val="24"/>
                </w:rPr>
                <m:t>y</m:t>
              </m:r>
            </m:e>
            <m:sup>
              <m:r>
                <w:rPr>
                  <w:rFonts w:ascii="Cambria Math" w:hAnsi="Cambria Math"/>
                  <w:color w:val="1F2329"/>
                  <w:kern w:val="0"/>
                  <w:szCs w:val="24"/>
                </w:rPr>
                <m:t>-</m:t>
              </m:r>
              <m:r>
                <w:rPr>
                  <w:rFonts w:ascii="Cambria Math" w:hAnsi="Cambria Math"/>
                  <w:color w:val="1F2329"/>
                  <w:kern w:val="0"/>
                  <w:szCs w:val="24"/>
                </w:rPr>
                <m:t>1</m:t>
              </m:r>
            </m:sup>
          </m:sSup>
        </m:oMath>
      </m:oMathPara>
    </w:p>
    <w:p w:rsidR="003C2CC0" w:rsidRDefault="00D71428">
      <w:pPr>
        <w:ind w:firstLine="480"/>
        <w:rPr>
          <w:rFonts w:ascii="Times New Roman" w:hAnsi="Times New Roman"/>
          <w:kern w:val="0"/>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I</m:t>
            </m:r>
          </m:e>
          <m:sub>
            <m:r>
              <w:rPr>
                <w:rFonts w:ascii="Cambria Math" w:hAnsi="Cambria Math"/>
              </w:rPr>
              <m:t>U</m:t>
            </m:r>
          </m:sub>
        </m:sSub>
      </m:oMath>
      <w:r>
        <w:rPr>
          <w:rFonts w:ascii="Times New Roman" w:hAnsi="Times New Roman"/>
          <w:kern w:val="0"/>
        </w:rPr>
        <w:t>—</w:t>
      </w:r>
      <w:r>
        <w:rPr>
          <w:rFonts w:ascii="Times New Roman" w:hAnsi="Times New Roman"/>
        </w:rPr>
        <w:t>居民放射性</w:t>
      </w:r>
      <w:r>
        <w:rPr>
          <w:rFonts w:ascii="Times New Roman" w:hAnsi="Times New Roman"/>
        </w:rPr>
        <w:t>核素</w:t>
      </w:r>
      <w:r>
        <w:rPr>
          <w:rFonts w:ascii="Times New Roman" w:hAnsi="Times New Roman"/>
        </w:rPr>
        <w:t>摄入量（</w:t>
      </w:r>
      <w:r>
        <w:rPr>
          <w:rFonts w:ascii="Times New Roman" w:hAnsi="Times New Roman"/>
        </w:rPr>
        <w:t>Bq·y</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C</m:t>
            </m:r>
          </m:e>
          <m:sub>
            <m:r>
              <w:rPr>
                <w:rFonts w:ascii="Cambria Math" w:hAnsi="Cambria Math"/>
              </w:rPr>
              <m:t>W</m:t>
            </m:r>
          </m:sub>
        </m:sSub>
      </m:oMath>
      <w:r>
        <w:rPr>
          <w:rFonts w:ascii="Times New Roman" w:hAnsi="Times New Roman"/>
          <w:kern w:val="0"/>
        </w:rPr>
        <w:t>—</w:t>
      </w:r>
      <w:r>
        <w:rPr>
          <w:rFonts w:ascii="Times New Roman" w:hAnsi="Times New Roman"/>
        </w:rPr>
        <w:t>井水放射性</w:t>
      </w:r>
      <w:r>
        <w:rPr>
          <w:rFonts w:ascii="Times New Roman" w:hAnsi="Times New Roman"/>
        </w:rPr>
        <w:t>核素</w:t>
      </w:r>
      <w:r>
        <w:rPr>
          <w:rFonts w:ascii="Times New Roman" w:hAnsi="Times New Roman"/>
        </w:rPr>
        <w:t>浓度（</w:t>
      </w:r>
      <w:r>
        <w:rPr>
          <w:rFonts w:ascii="Times New Roman" w:hAnsi="Times New Roman"/>
        </w:rPr>
        <w:t>Bq·L</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I</m:t>
            </m:r>
          </m:e>
          <m:sub>
            <m:r>
              <w:rPr>
                <w:rFonts w:ascii="Cambria Math" w:hAnsi="Cambria Math"/>
              </w:rPr>
              <m:t>W</m:t>
            </m:r>
          </m:sub>
        </m:sSub>
      </m:oMath>
      <w:r>
        <w:rPr>
          <w:rFonts w:ascii="Times New Roman" w:hAnsi="Times New Roman"/>
          <w:kern w:val="0"/>
        </w:rPr>
        <w:t>—</w:t>
      </w:r>
      <w:r>
        <w:rPr>
          <w:rFonts w:ascii="Times New Roman" w:hAnsi="Times New Roman"/>
        </w:rPr>
        <w:t>居民饮水量（</w:t>
      </w:r>
      <w:r>
        <w:rPr>
          <w:rFonts w:ascii="Times New Roman" w:hAnsi="Times New Roman"/>
        </w:rPr>
        <w:t>L/d</w:t>
      </w:r>
      <w:r>
        <w:rPr>
          <w:rFonts w:ascii="Times New Roman" w:hAnsi="Times New Roman"/>
        </w:rPr>
        <w:t>）。</w:t>
      </w:r>
    </w:p>
    <w:p w:rsidR="003C2CC0" w:rsidRDefault="00D71428">
      <w:pPr>
        <w:rPr>
          <w:rFonts w:ascii="Times New Roman" w:hAnsi="Times New Roman"/>
        </w:rPr>
      </w:pPr>
      <w:r>
        <w:rPr>
          <w:rFonts w:ascii="Times New Roman" w:hAnsi="Times New Roman" w:hint="eastAsia"/>
          <w:kern w:val="0"/>
        </w:rPr>
        <w:t>B</w:t>
      </w:r>
      <w:r>
        <w:rPr>
          <w:rFonts w:ascii="Times New Roman" w:hAnsi="Times New Roman"/>
          <w:kern w:val="0"/>
        </w:rPr>
        <w:t>.2.</w:t>
      </w:r>
      <w:r>
        <w:rPr>
          <w:rFonts w:ascii="Times New Roman" w:hAnsi="Times New Roman"/>
          <w:kern w:val="0"/>
        </w:rPr>
        <w:t>1.2</w:t>
      </w:r>
      <w:r>
        <w:rPr>
          <w:rFonts w:ascii="Times New Roman" w:hAnsi="Times New Roman"/>
        </w:rPr>
        <w:t>居民饮用该水的</w:t>
      </w:r>
      <w:r>
        <w:rPr>
          <w:rFonts w:ascii="Times New Roman" w:hAnsi="Times New Roman"/>
        </w:rPr>
        <w:t>30</w:t>
      </w:r>
      <w:r>
        <w:rPr>
          <w:rFonts w:ascii="Times New Roman" w:hAnsi="Times New Roman"/>
        </w:rPr>
        <w:t>年终身</w:t>
      </w:r>
      <w:r>
        <w:rPr>
          <w:rFonts w:ascii="Times New Roman" w:hAnsi="Times New Roman"/>
        </w:rPr>
        <w:t>致病</w:t>
      </w:r>
      <w:r>
        <w:rPr>
          <w:rFonts w:ascii="Times New Roman" w:hAnsi="Times New Roman"/>
        </w:rPr>
        <w:t>风险</w:t>
      </w:r>
    </w:p>
    <w:p w:rsidR="003C2CC0" w:rsidRDefault="00D71428">
      <w:pPr>
        <w:jc w:val="center"/>
        <w:rPr>
          <w:rFonts w:ascii="Times New Roman" w:hAnsi="Times New Roman"/>
        </w:rPr>
      </w:pPr>
      <m:oMathPara>
        <m:oMath>
          <m:r>
            <w:rPr>
              <w:rFonts w:ascii="Cambria Math" w:hAnsi="Cambria Math"/>
              <w:color w:val="1F2329"/>
              <w:kern w:val="0"/>
              <w:szCs w:val="24"/>
            </w:rPr>
            <m:t>Risk</m:t>
          </m:r>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I</m:t>
              </m:r>
            </m:e>
            <m:sub>
              <m:r>
                <w:rPr>
                  <w:rFonts w:ascii="Cambria Math" w:hAnsi="Cambria Math"/>
                  <w:color w:val="1F2329"/>
                  <w:kern w:val="0"/>
                  <w:szCs w:val="24"/>
                </w:rPr>
                <m:t>U</m:t>
              </m:r>
            </m:sub>
          </m:sSub>
          <m:r>
            <w:rPr>
              <w:rFonts w:ascii="Cambria Math" w:hAnsi="Cambria Math"/>
              <w:color w:val="1F2329"/>
              <w:kern w:val="0"/>
              <w:szCs w:val="24"/>
            </w:rPr>
            <m:t>*</m:t>
          </m:r>
          <m:r>
            <w:rPr>
              <w:rFonts w:ascii="Cambria Math" w:hAnsi="Cambria Math"/>
              <w:color w:val="1F2329"/>
              <w:kern w:val="0"/>
              <w:szCs w:val="24"/>
            </w:rPr>
            <m:t>T</m:t>
          </m:r>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RCF</m:t>
              </m:r>
            </m:e>
            <m:sub>
              <m:r>
                <w:rPr>
                  <w:rFonts w:ascii="Cambria Math" w:hAnsi="Cambria Math"/>
                  <w:color w:val="1F2329"/>
                  <w:kern w:val="0"/>
                  <w:szCs w:val="24"/>
                </w:rPr>
                <m:t>M</m:t>
              </m:r>
            </m:sub>
          </m:sSub>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I</m:t>
            </m:r>
          </m:e>
          <m:sub>
            <m:r>
              <w:rPr>
                <w:rFonts w:ascii="Cambria Math" w:hAnsi="Cambria Math"/>
              </w:rPr>
              <m:t>U</m:t>
            </m:r>
          </m:sub>
        </m:sSub>
      </m:oMath>
      <w:r>
        <w:rPr>
          <w:rFonts w:ascii="Times New Roman" w:hAnsi="Times New Roman"/>
          <w:kern w:val="0"/>
        </w:rPr>
        <w:t>—</w:t>
      </w:r>
      <w:r>
        <w:rPr>
          <w:rFonts w:ascii="Times New Roman" w:hAnsi="Times New Roman"/>
        </w:rPr>
        <w:t>居民放射性</w:t>
      </w:r>
      <w:r>
        <w:rPr>
          <w:rFonts w:ascii="Times New Roman" w:hAnsi="Times New Roman"/>
        </w:rPr>
        <w:t>核素</w:t>
      </w:r>
      <w:r>
        <w:rPr>
          <w:rFonts w:ascii="Times New Roman" w:hAnsi="Times New Roman"/>
        </w:rPr>
        <w:t>摄入量（</w:t>
      </w:r>
      <w:r>
        <w:rPr>
          <w:rFonts w:ascii="Times New Roman" w:hAnsi="Times New Roman"/>
        </w:rPr>
        <w:t>Bq·y</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RCF</m:t>
            </m:r>
          </m:e>
          <m:sub>
            <m:r>
              <w:rPr>
                <w:rFonts w:ascii="Cambria Math" w:hAnsi="Cambria Math"/>
              </w:rPr>
              <m:t>M</m:t>
            </m:r>
          </m:sub>
        </m:sSub>
      </m:oMath>
      <w:r>
        <w:rPr>
          <w:rFonts w:ascii="Times New Roman" w:hAnsi="Times New Roman"/>
          <w:kern w:val="0"/>
        </w:rPr>
        <w:t>—</w:t>
      </w:r>
      <w:r>
        <w:rPr>
          <w:rFonts w:ascii="Times New Roman" w:hAnsi="Times New Roman"/>
        </w:rPr>
        <w:t>发病风险系数（</w:t>
      </w:r>
      <w:r>
        <w:rPr>
          <w:rFonts w:ascii="Times New Roman" w:hAnsi="Times New Roman"/>
        </w:rPr>
        <w:t>Bq</w:t>
      </w:r>
      <w:r>
        <w:rPr>
          <w:rFonts w:ascii="Times New Roman" w:hAnsi="Times New Roman"/>
          <w:vertAlign w:val="superscript"/>
        </w:rPr>
        <w:t>-1</w:t>
      </w:r>
      <w:r>
        <w:rPr>
          <w:rFonts w:ascii="Times New Roman" w:hAnsi="Times New Roman"/>
        </w:rPr>
        <w:t>）；</w:t>
      </w:r>
    </w:p>
    <w:p w:rsidR="003C2CC0" w:rsidRDefault="00D71428">
      <w:pPr>
        <w:ind w:firstLineChars="200" w:firstLine="420"/>
        <w:rPr>
          <w:rFonts w:ascii="Times New Roman" w:hAnsi="Times New Roman"/>
        </w:rPr>
      </w:pPr>
      <w:r>
        <w:rPr>
          <w:rFonts w:ascii="Times New Roman" w:hAnsi="Times New Roman"/>
          <w:i/>
          <w:iCs/>
          <w:szCs w:val="24"/>
        </w:rPr>
        <w:t>T</w:t>
      </w:r>
      <w:r>
        <w:rPr>
          <w:rFonts w:ascii="Times New Roman" w:hAnsi="Times New Roman"/>
          <w:kern w:val="0"/>
        </w:rPr>
        <w:t>—</w:t>
      </w:r>
      <w:r>
        <w:rPr>
          <w:rFonts w:ascii="Times New Roman" w:hAnsi="Times New Roman"/>
        </w:rPr>
        <w:t>摄入期限（</w:t>
      </w:r>
      <w:r>
        <w:rPr>
          <w:rFonts w:ascii="Times New Roman" w:hAnsi="Times New Roman"/>
        </w:rPr>
        <w:t>30y</w:t>
      </w:r>
      <w:r>
        <w:rPr>
          <w:rFonts w:ascii="Times New Roman" w:hAnsi="Times New Roman"/>
        </w:rPr>
        <w:t>）。</w:t>
      </w:r>
    </w:p>
    <w:p w:rsidR="003C2CC0" w:rsidRDefault="00D71428">
      <w:pPr>
        <w:adjustRightInd/>
        <w:spacing w:line="360" w:lineRule="auto"/>
        <w:rPr>
          <w:rFonts w:ascii="Times New Roman" w:hAnsi="Times New Roman"/>
          <w:b/>
          <w:kern w:val="0"/>
        </w:rPr>
      </w:pPr>
      <w:r>
        <w:rPr>
          <w:rFonts w:ascii="Times New Roman" w:hAnsi="Times New Roman" w:hint="eastAsia"/>
          <w:b/>
          <w:kern w:val="0"/>
        </w:rPr>
        <w:t>B</w:t>
      </w:r>
      <w:r>
        <w:rPr>
          <w:rFonts w:ascii="Times New Roman" w:hAnsi="Times New Roman"/>
          <w:b/>
          <w:kern w:val="0"/>
        </w:rPr>
        <w:t>.</w:t>
      </w:r>
      <w:r>
        <w:rPr>
          <w:rFonts w:ascii="Times New Roman" w:hAnsi="Times New Roman"/>
          <w:b/>
          <w:kern w:val="0"/>
        </w:rPr>
        <w:t>2.2</w:t>
      </w:r>
      <w:r>
        <w:rPr>
          <w:rFonts w:ascii="Times New Roman" w:hAnsi="Times New Roman"/>
          <w:b/>
          <w:kern w:val="0"/>
        </w:rPr>
        <w:t>灌溉</w:t>
      </w:r>
      <w:r>
        <w:rPr>
          <w:rFonts w:ascii="Times New Roman" w:hAnsi="Times New Roman"/>
          <w:b/>
          <w:kern w:val="0"/>
        </w:rPr>
        <w:t>途径计算推荐模型</w:t>
      </w:r>
    </w:p>
    <w:p w:rsidR="003C2CC0" w:rsidRDefault="00D71428">
      <w:pPr>
        <w:rPr>
          <w:rFonts w:ascii="Times New Roman" w:hAnsi="Times New Roman"/>
        </w:rPr>
      </w:pPr>
      <w:r>
        <w:rPr>
          <w:rFonts w:ascii="Times New Roman" w:hAnsi="Times New Roman" w:hint="eastAsia"/>
          <w:kern w:val="0"/>
        </w:rPr>
        <w:t>B</w:t>
      </w:r>
      <w:r>
        <w:rPr>
          <w:rFonts w:ascii="Times New Roman" w:hAnsi="Times New Roman"/>
          <w:kern w:val="0"/>
        </w:rPr>
        <w:t>.</w:t>
      </w:r>
      <w:r>
        <w:rPr>
          <w:rFonts w:ascii="Times New Roman" w:hAnsi="Times New Roman"/>
          <w:kern w:val="0"/>
        </w:rPr>
        <w:t>2.2</w:t>
      </w:r>
      <w:r>
        <w:rPr>
          <w:rFonts w:ascii="Times New Roman" w:hAnsi="Times New Roman"/>
          <w:kern w:val="0"/>
        </w:rPr>
        <w:t>.1</w:t>
      </w:r>
      <w:r>
        <w:rPr>
          <w:rFonts w:ascii="Times New Roman" w:hAnsi="Times New Roman"/>
        </w:rPr>
        <w:t>土壤中放射性</w:t>
      </w:r>
      <w:r>
        <w:rPr>
          <w:rFonts w:ascii="Times New Roman" w:hAnsi="Times New Roman"/>
        </w:rPr>
        <w:t>核素</w:t>
      </w:r>
      <w:r>
        <w:rPr>
          <w:rFonts w:ascii="Times New Roman" w:hAnsi="Times New Roman"/>
        </w:rPr>
        <w:t>累积量</w:t>
      </w:r>
    </w:p>
    <w:p w:rsidR="003C2CC0" w:rsidRDefault="00D71428">
      <w:pPr>
        <w:ind w:firstLine="480"/>
        <w:rPr>
          <w:rFonts w:ascii="Times New Roman" w:hAnsi="Times New Roman"/>
        </w:rPr>
      </w:pPr>
      <w:r>
        <w:rPr>
          <w:rFonts w:ascii="Times New Roman" w:hAnsi="Times New Roman"/>
        </w:rPr>
        <w:t>使用受污染水灌溉可能导致表层土壤中放射性</w:t>
      </w:r>
      <w:r>
        <w:rPr>
          <w:rFonts w:ascii="Times New Roman" w:hAnsi="Times New Roman"/>
        </w:rPr>
        <w:t>核素</w:t>
      </w:r>
      <w:r>
        <w:rPr>
          <w:rFonts w:ascii="Times New Roman" w:hAnsi="Times New Roman"/>
        </w:rPr>
        <w:t>浓度升高，并被</w:t>
      </w:r>
      <w:r>
        <w:rPr>
          <w:rFonts w:ascii="Times New Roman" w:hAnsi="Times New Roman"/>
        </w:rPr>
        <w:t>农产品</w:t>
      </w:r>
      <w:r>
        <w:rPr>
          <w:rFonts w:ascii="Times New Roman" w:hAnsi="Times New Roman"/>
        </w:rPr>
        <w:t>和饲料吸收。</w:t>
      </w:r>
    </w:p>
    <w:p w:rsidR="003C2CC0" w:rsidRDefault="00D71428">
      <w:pPr>
        <w:ind w:firstLine="480"/>
        <w:rPr>
          <w:rFonts w:ascii="Times New Roman" w:hAnsi="Times New Roman"/>
        </w:rPr>
      </w:pPr>
      <w:r>
        <w:rPr>
          <w:rFonts w:ascii="Times New Roman" w:hAnsi="Times New Roman"/>
        </w:rPr>
        <w:t>1</w:t>
      </w:r>
      <w:r>
        <w:rPr>
          <w:rFonts w:ascii="Times New Roman" w:hAnsi="Times New Roman"/>
        </w:rPr>
        <w:t>）土壤中</w:t>
      </w:r>
      <w:r>
        <w:rPr>
          <w:rFonts w:ascii="Times New Roman" w:hAnsi="Times New Roman"/>
        </w:rPr>
        <w:t>放射性核素</w:t>
      </w:r>
      <w:r>
        <w:rPr>
          <w:rFonts w:ascii="Times New Roman" w:hAnsi="Times New Roman"/>
        </w:rPr>
        <w:t>的日均累积量</w:t>
      </w:r>
    </w:p>
    <w:p w:rsidR="003C2CC0" w:rsidRDefault="00D71428">
      <w:pPr>
        <w:spacing w:line="360" w:lineRule="auto"/>
        <w:jc w:val="center"/>
        <w:rPr>
          <w:rFonts w:ascii="Times New Roman" w:hAnsi="Times New Roman"/>
        </w:rPr>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f>
            <m:fPr>
              <m:ctrlPr>
                <w:rPr>
                  <w:rFonts w:ascii="Cambria Math" w:hAnsi="Cambria Math"/>
                  <w:i/>
                </w:rPr>
              </m:ctrlPr>
            </m:fPr>
            <m:num>
              <m:r>
                <w:rPr>
                  <w:rFonts w:ascii="Cambria Math" w:hAnsi="Cambria Math"/>
                </w:rPr>
                <m:t>IR</m:t>
              </m:r>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G</m:t>
                  </m:r>
                  <m:r>
                    <w:rPr>
                      <w:rFonts w:ascii="Cambria Math" w:hAnsi="Cambria Math"/>
                    </w:rPr>
                    <m:t>w</m:t>
                  </m:r>
                </m:sub>
              </m:sSub>
              <m:r>
                <w:rPr>
                  <w:rFonts w:ascii="Cambria Math" w:hAnsi="Cambria Math"/>
                </w:rPr>
                <m:t>*</m:t>
              </m:r>
              <m:r>
                <w:rPr>
                  <w:rFonts w:ascii="Cambria Math" w:hAnsi="Cambria Math"/>
                </w:rPr>
                <m:t>IP</m:t>
              </m:r>
            </m:num>
            <m:den>
              <m:r>
                <w:rPr>
                  <w:rFonts w:ascii="Cambria Math" w:hAnsi="Cambria Math"/>
                </w:rPr>
                <m:t>MD</m:t>
              </m:r>
              <m:r>
                <w:rPr>
                  <w:rFonts w:ascii="Cambria Math" w:hAnsi="Cambria Math"/>
                </w:rPr>
                <m:t>*</m:t>
              </m:r>
              <m:r>
                <w:rPr>
                  <w:rFonts w:ascii="Cambria Math" w:hAnsi="Cambria Math"/>
                </w:rPr>
                <m:t>ρ</m:t>
              </m:r>
              <m:r>
                <w:rPr>
                  <w:rFonts w:ascii="Cambria Math" w:hAnsi="Cambria Math"/>
                </w:rPr>
                <m:t>*</m:t>
              </m:r>
              <m:r>
                <w:rPr>
                  <w:rFonts w:ascii="Cambria Math" w:hAnsi="Cambria Math"/>
                </w:rPr>
                <m:t>365</m:t>
              </m:r>
              <m:r>
                <w:rPr>
                  <w:rFonts w:ascii="Cambria Math" w:hAnsi="Cambria Math"/>
                </w:rPr>
                <m:t>d</m:t>
              </m:r>
              <m:sSup>
                <m:sSupPr>
                  <m:ctrlPr>
                    <w:rPr>
                      <w:rFonts w:ascii="Cambria Math" w:hAnsi="Cambria Math"/>
                      <w:i/>
                    </w:rPr>
                  </m:ctrlPr>
                </m:sSupPr>
                <m:e>
                  <m:r>
                    <w:rPr>
                      <w:rFonts w:ascii="Cambria Math" w:hAnsi="Cambria Math"/>
                    </w:rPr>
                    <m:t>y</m:t>
                  </m:r>
                </m:e>
                <m:sup>
                  <m:r>
                    <w:rPr>
                      <w:rFonts w:ascii="Cambria Math" w:hAnsi="Cambria Math"/>
                    </w:rPr>
                    <m:t>-</m:t>
                  </m:r>
                  <m:r>
                    <w:rPr>
                      <w:rFonts w:ascii="Cambria Math" w:hAnsi="Cambria Math"/>
                    </w:rPr>
                    <m:t>1</m:t>
                  </m:r>
                </m:sup>
              </m:sSup>
              <m:r>
                <w:rPr>
                  <w:rFonts w:ascii="Cambria Math" w:hAnsi="Cambria Math"/>
                </w:rPr>
                <m:t>*</m:t>
              </m:r>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4</m:t>
                  </m:r>
                </m:sup>
              </m:sSup>
              <m:sSup>
                <m:sSupPr>
                  <m:ctrlPr>
                    <w:rPr>
                      <w:rFonts w:ascii="Cambria Math" w:hAnsi="Cambria Math"/>
                      <w:i/>
                    </w:rPr>
                  </m:ctrlPr>
                </m:sSupPr>
                <m:e>
                  <m:r>
                    <w:rPr>
                      <w:rFonts w:ascii="Cambria Math" w:hAnsi="Cambria Math"/>
                    </w:rPr>
                    <m:t>cm</m:t>
                  </m:r>
                </m:e>
                <m:sup>
                  <m:r>
                    <w:rPr>
                      <w:rFonts w:ascii="Cambria Math" w:hAnsi="Cambria Math"/>
                    </w:rPr>
                    <m:t>2</m:t>
                  </m:r>
                </m:sup>
              </m:sSup>
              <m:sSup>
                <m:sSupPr>
                  <m:ctrlPr>
                    <w:rPr>
                      <w:rFonts w:ascii="Cambria Math" w:hAnsi="Cambria Math"/>
                      <w:i/>
                    </w:rPr>
                  </m:ctrlPr>
                </m:sSupPr>
                <m:e>
                  <m:r>
                    <w:rPr>
                      <w:rFonts w:ascii="Cambria Math" w:hAnsi="Cambria Math"/>
                    </w:rPr>
                    <m:t>m</m:t>
                  </m:r>
                </m:e>
                <m:sup>
                  <m:r>
                    <w:rPr>
                      <w:rFonts w:ascii="Cambria Math" w:hAnsi="Cambria Math"/>
                    </w:rPr>
                    <m:t>-</m:t>
                  </m:r>
                  <m:r>
                    <w:rPr>
                      <w:rFonts w:ascii="Cambria Math" w:hAnsi="Cambria Math"/>
                    </w:rPr>
                    <m:t>2</m:t>
                  </m:r>
                </m:sup>
              </m:sSup>
            </m:den>
          </m:f>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I</m:t>
            </m:r>
          </m:e>
          <m:sub>
            <m:r>
              <w:rPr>
                <w:rFonts w:ascii="Cambria Math" w:hAnsi="Cambria Math"/>
              </w:rPr>
              <m:t>S</m:t>
            </m:r>
          </m:sub>
        </m:sSub>
      </m:oMath>
      <w:r>
        <w:rPr>
          <w:rFonts w:ascii="Times New Roman" w:hAnsi="Times New Roman"/>
          <w:kern w:val="0"/>
        </w:rPr>
        <w:t>—</w:t>
      </w:r>
      <w:r>
        <w:rPr>
          <w:rFonts w:ascii="Times New Roman" w:hAnsi="Times New Roman"/>
        </w:rPr>
        <w:t>土壤</w:t>
      </w:r>
      <w:r>
        <w:rPr>
          <w:rFonts w:ascii="Times New Roman" w:hAnsi="Times New Roman"/>
        </w:rPr>
        <w:t>放射性核素</w:t>
      </w:r>
      <w:r>
        <w:rPr>
          <w:rFonts w:ascii="Times New Roman" w:hAnsi="Times New Roman" w:hint="eastAsia"/>
        </w:rPr>
        <w:t>累积</w:t>
      </w:r>
      <w:r>
        <w:rPr>
          <w:rFonts w:ascii="Times New Roman" w:hAnsi="Times New Roman"/>
        </w:rPr>
        <w:t>量（</w:t>
      </w:r>
      <w:r>
        <w:rPr>
          <w:rFonts w:ascii="Times New Roman" w:hAnsi="Times New Roman"/>
        </w:rPr>
        <w:t>Bq·g</w:t>
      </w:r>
      <w:r>
        <w:rPr>
          <w:rFonts w:ascii="Times New Roman" w:hAnsi="Times New Roman"/>
          <w:vertAlign w:val="superscript"/>
        </w:rPr>
        <w:t>-1</w:t>
      </w:r>
      <w:r>
        <w:rPr>
          <w:rFonts w:ascii="Times New Roman" w:hAnsi="Times New Roman"/>
        </w:rPr>
        <w:t>）；</w:t>
      </w:r>
    </w:p>
    <w:p w:rsidR="003C2CC0" w:rsidRDefault="00D71428">
      <w:pPr>
        <w:ind w:firstLineChars="200" w:firstLine="420"/>
        <w:rPr>
          <w:rFonts w:ascii="Times New Roman" w:hAnsi="Times New Roman"/>
        </w:rPr>
      </w:pPr>
      <w:r>
        <w:rPr>
          <w:rFonts w:ascii="Times New Roman" w:hAnsi="Times New Roman"/>
          <w:i/>
          <w:iCs/>
        </w:rPr>
        <w:t>IR</w:t>
      </w:r>
      <w:r>
        <w:rPr>
          <w:rFonts w:ascii="Times New Roman" w:hAnsi="Times New Roman"/>
          <w:kern w:val="0"/>
        </w:rPr>
        <w:t>—</w:t>
      </w:r>
      <w:r>
        <w:rPr>
          <w:rFonts w:ascii="Times New Roman" w:hAnsi="Times New Roman"/>
        </w:rPr>
        <w:t>灌溉速率（</w:t>
      </w:r>
      <w:bookmarkStart w:id="82" w:name="OLE_LINK1"/>
      <w:r>
        <w:rPr>
          <w:rFonts w:ascii="Times New Roman" w:hAnsi="Times New Roman"/>
        </w:rPr>
        <w:t>Lm</w:t>
      </w:r>
      <w:r>
        <w:rPr>
          <w:rFonts w:ascii="Times New Roman" w:hAnsi="Times New Roman"/>
          <w:vertAlign w:val="superscript"/>
        </w:rPr>
        <w:t>-2</w:t>
      </w:r>
      <w:r>
        <w:rPr>
          <w:rFonts w:ascii="Times New Roman" w:hAnsi="Times New Roman"/>
        </w:rPr>
        <w:t>d</w:t>
      </w:r>
      <w:r>
        <w:rPr>
          <w:rFonts w:ascii="Times New Roman" w:hAnsi="Times New Roman"/>
          <w:vertAlign w:val="superscript"/>
        </w:rPr>
        <w:t>-1</w:t>
      </w:r>
      <w:bookmarkEnd w:id="82"/>
      <w:r>
        <w:rPr>
          <w:rFonts w:ascii="Times New Roman" w:hAnsi="Times New Roman"/>
        </w:rPr>
        <w:t>）；</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m:t>
            </m:r>
          </m:e>
          <m:sub>
            <m:r>
              <w:rPr>
                <w:rFonts w:ascii="Cambria Math" w:hAnsi="Cambria Math"/>
              </w:rPr>
              <m:t>Gw</m:t>
            </m:r>
          </m:sub>
        </m:sSub>
      </m:oMath>
      <w:r>
        <w:rPr>
          <w:rFonts w:ascii="Times New Roman" w:hAnsi="Times New Roman"/>
          <w:kern w:val="0"/>
        </w:rPr>
        <w:t>—</w:t>
      </w:r>
      <w:r>
        <w:rPr>
          <w:rFonts w:ascii="Times New Roman" w:hAnsi="Times New Roman"/>
          <w:color w:val="1F2329"/>
          <w:kern w:val="0"/>
          <w:szCs w:val="24"/>
        </w:rPr>
        <w:t>井水</w:t>
      </w:r>
      <w:r>
        <w:rPr>
          <w:rFonts w:ascii="Times New Roman" w:hAnsi="Times New Roman"/>
        </w:rPr>
        <w:t>放射性核素</w:t>
      </w:r>
      <w:r>
        <w:rPr>
          <w:rFonts w:ascii="Times New Roman" w:hAnsi="Times New Roman"/>
          <w:color w:val="1F2329"/>
          <w:kern w:val="0"/>
          <w:szCs w:val="24"/>
        </w:rPr>
        <w:t>浓度（</w:t>
      </w:r>
      <w:r>
        <w:rPr>
          <w:rFonts w:ascii="Times New Roman" w:hAnsi="Times New Roman"/>
        </w:rPr>
        <w:t>Bq·L</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Chars="200" w:firstLine="420"/>
        <w:rPr>
          <w:rFonts w:ascii="Times New Roman" w:hAnsi="Times New Roman"/>
        </w:rPr>
      </w:pPr>
      <w:r>
        <w:rPr>
          <w:rFonts w:ascii="Times New Roman" w:hAnsi="Times New Roman"/>
          <w:i/>
          <w:iCs/>
        </w:rPr>
        <w:t>MD</w:t>
      </w:r>
      <w:r>
        <w:rPr>
          <w:rFonts w:ascii="Times New Roman" w:hAnsi="Times New Roman"/>
          <w:kern w:val="0"/>
        </w:rPr>
        <w:t>—</w:t>
      </w:r>
      <w:r>
        <w:rPr>
          <w:rFonts w:ascii="Times New Roman" w:hAnsi="Times New Roman"/>
        </w:rPr>
        <w:t>土壤混合深度（</w:t>
      </w:r>
      <w:r>
        <w:rPr>
          <w:rFonts w:ascii="Times New Roman" w:hAnsi="Times New Roman"/>
        </w:rPr>
        <w:t>cm</w:t>
      </w:r>
      <w:r>
        <w:rPr>
          <w:rFonts w:ascii="Times New Roman" w:hAnsi="Times New Roman"/>
        </w:rPr>
        <w:t>）；</w:t>
      </w:r>
    </w:p>
    <w:p w:rsidR="003C2CC0" w:rsidRDefault="00D71428">
      <w:pPr>
        <w:ind w:firstLineChars="200" w:firstLine="420"/>
        <w:rPr>
          <w:rFonts w:ascii="Times New Roman" w:hAnsi="Times New Roman"/>
        </w:rPr>
      </w:pPr>
      <w:r>
        <w:rPr>
          <w:rFonts w:ascii="Times New Roman" w:hAnsi="Times New Roman"/>
          <w:i/>
          <w:iCs/>
        </w:rPr>
        <w:lastRenderedPageBreak/>
        <w:t>IP</w:t>
      </w:r>
      <w:r>
        <w:rPr>
          <w:rFonts w:ascii="Times New Roman" w:hAnsi="Times New Roman"/>
          <w:kern w:val="0"/>
        </w:rPr>
        <w:t>—</w:t>
      </w:r>
      <w:r>
        <w:rPr>
          <w:rFonts w:ascii="Times New Roman" w:hAnsi="Times New Roman"/>
        </w:rPr>
        <w:t>灌溉周期（</w:t>
      </w:r>
      <w:r>
        <w:rPr>
          <w:rFonts w:ascii="Times New Roman" w:hAnsi="Times New Roman"/>
        </w:rPr>
        <w:t>d·y</w:t>
      </w:r>
      <w:r>
        <w:rPr>
          <w:rFonts w:ascii="Times New Roman" w:hAnsi="Times New Roman"/>
          <w:vertAlign w:val="superscript"/>
        </w:rPr>
        <w:t>-1</w:t>
      </w:r>
      <w:r>
        <w:rPr>
          <w:rFonts w:ascii="Times New Roman" w:hAnsi="Times New Roman"/>
        </w:rPr>
        <w:t>）；</w:t>
      </w:r>
    </w:p>
    <w:p w:rsidR="003C2CC0" w:rsidRDefault="00D71428">
      <w:pPr>
        <w:ind w:firstLineChars="200" w:firstLine="420"/>
        <w:rPr>
          <w:rFonts w:ascii="Times New Roman" w:hAnsi="Times New Roman"/>
        </w:rPr>
      </w:pPr>
      <w:r>
        <w:rPr>
          <w:rFonts w:ascii="Times New Roman" w:hAnsi="Times New Roman"/>
          <w:i/>
          <w:iCs/>
        </w:rPr>
        <w:t>ρ</w:t>
      </w:r>
      <w:r>
        <w:rPr>
          <w:rFonts w:ascii="Times New Roman" w:hAnsi="Times New Roman"/>
          <w:kern w:val="0"/>
        </w:rPr>
        <w:t>—</w:t>
      </w:r>
      <w:r>
        <w:rPr>
          <w:rFonts w:ascii="Times New Roman" w:hAnsi="Times New Roman"/>
        </w:rPr>
        <w:t>土壤密度（</w:t>
      </w:r>
      <w:r>
        <w:rPr>
          <w:rFonts w:ascii="Times New Roman" w:hAnsi="Times New Roman"/>
        </w:rPr>
        <w:t>g·cm</w:t>
      </w:r>
      <w:r>
        <w:rPr>
          <w:rFonts w:ascii="Times New Roman" w:hAnsi="Times New Roman"/>
          <w:vertAlign w:val="superscript"/>
        </w:rPr>
        <w:t>-3</w:t>
      </w:r>
      <w:r>
        <w:rPr>
          <w:rFonts w:ascii="Times New Roman" w:hAnsi="Times New Roman"/>
        </w:rPr>
        <w:t>）。</w:t>
      </w:r>
    </w:p>
    <w:p w:rsidR="003C2CC0" w:rsidRDefault="00D71428">
      <w:pPr>
        <w:ind w:firstLine="480"/>
        <w:rPr>
          <w:rFonts w:ascii="Times New Roman" w:hAnsi="Times New Roman"/>
        </w:rPr>
      </w:pPr>
      <w:r>
        <w:rPr>
          <w:rFonts w:ascii="Times New Roman" w:hAnsi="Times New Roman"/>
        </w:rPr>
        <w:t>2</w:t>
      </w:r>
      <w:r>
        <w:rPr>
          <w:rFonts w:ascii="Times New Roman" w:hAnsi="Times New Roman"/>
        </w:rPr>
        <w:t>）随着每年持续灌溉，土壤中的放射性</w:t>
      </w:r>
      <w:r>
        <w:rPr>
          <w:rFonts w:ascii="Times New Roman" w:hAnsi="Times New Roman"/>
        </w:rPr>
        <w:t>核素</w:t>
      </w:r>
      <w:r>
        <w:rPr>
          <w:rFonts w:ascii="Times New Roman" w:hAnsi="Times New Roman"/>
        </w:rPr>
        <w:t>会不断累积，但同时也会通过淋溶和植物吸收从土壤中移除。</w:t>
      </w:r>
    </w:p>
    <w:p w:rsidR="003C2CC0" w:rsidRDefault="00D71428">
      <w:pPr>
        <w:ind w:firstLine="480"/>
        <w:rPr>
          <w:rFonts w:ascii="Times New Roman" w:hAnsi="Times New Roman"/>
        </w:rPr>
      </w:pPr>
      <w:r>
        <w:rPr>
          <w:rFonts w:ascii="Times New Roman" w:hAnsi="Times New Roman"/>
        </w:rPr>
        <w:t>土壤中</w:t>
      </w:r>
      <w:r>
        <w:rPr>
          <w:rFonts w:ascii="Times New Roman" w:hAnsi="Times New Roman"/>
        </w:rPr>
        <w:t>放射性核素</w:t>
      </w:r>
      <w:r>
        <w:rPr>
          <w:rFonts w:ascii="Times New Roman" w:hAnsi="Times New Roman"/>
        </w:rPr>
        <w:t>浓度会随时间逐渐升高至平衡</w:t>
      </w:r>
      <w:r>
        <w:rPr>
          <w:rFonts w:ascii="Times New Roman" w:hAnsi="Times New Roman"/>
        </w:rPr>
        <w:t>浓度</w:t>
      </w:r>
    </w:p>
    <w:p w:rsidR="003C2CC0" w:rsidRDefault="00D71428">
      <w:pPr>
        <w:jc w:val="center"/>
        <w:rPr>
          <w:rFonts w:ascii="Times New Roman" w:hAnsi="Times New Roman"/>
        </w:rPr>
      </w:pPr>
      <m:oMathPara>
        <m:oMath>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Seq</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I</m:t>
              </m:r>
            </m:e>
            <m:sub>
              <m:r>
                <w:rPr>
                  <w:rFonts w:ascii="Cambria Math" w:hAnsi="Cambria Math"/>
                  <w:color w:val="1F2329"/>
                  <w:kern w:val="0"/>
                  <w:szCs w:val="24"/>
                </w:rPr>
                <m:t>S</m:t>
              </m:r>
            </m:sub>
          </m:sSub>
          <m:r>
            <w:rPr>
              <w:rFonts w:ascii="Cambria Math" w:hAnsi="Cambria Math"/>
              <w:color w:val="1F2329"/>
              <w:kern w:val="0"/>
              <w:szCs w:val="24"/>
            </w:rPr>
            <m:t>*</m:t>
          </m:r>
          <m:sSup>
            <m:sSupPr>
              <m:ctrlPr>
                <w:rPr>
                  <w:rFonts w:ascii="Cambria Math" w:hAnsi="Cambria Math"/>
                  <w:i/>
                  <w:color w:val="1F2329"/>
                  <w:kern w:val="0"/>
                  <w:szCs w:val="24"/>
                </w:rPr>
              </m:ctrlPr>
            </m:sSupPr>
            <m:e>
              <m:sSub>
                <m:sSubPr>
                  <m:ctrlPr>
                    <w:rPr>
                      <w:rFonts w:ascii="Cambria Math" w:hAnsi="Cambria Math"/>
                      <w:i/>
                      <w:color w:val="1F2329"/>
                      <w:kern w:val="0"/>
                      <w:szCs w:val="24"/>
                    </w:rPr>
                  </m:ctrlPr>
                </m:sSubPr>
                <m:e>
                  <m:r>
                    <w:rPr>
                      <w:rFonts w:ascii="Cambria Math" w:hAnsi="Cambria Math"/>
                      <w:color w:val="1F2329"/>
                      <w:kern w:val="0"/>
                      <w:szCs w:val="24"/>
                    </w:rPr>
                    <m:t>λ</m:t>
                  </m:r>
                </m:e>
                <m:sub>
                  <m:r>
                    <w:rPr>
                      <w:rFonts w:ascii="Cambria Math" w:hAnsi="Cambria Math"/>
                      <w:color w:val="1F2329"/>
                      <w:kern w:val="0"/>
                      <w:szCs w:val="24"/>
                    </w:rPr>
                    <m:t>S</m:t>
                  </m:r>
                </m:sub>
              </m:sSub>
            </m:e>
            <m:sup>
              <m:r>
                <w:rPr>
                  <w:rFonts w:ascii="Cambria Math" w:hAnsi="Cambria Math"/>
                  <w:color w:val="1F2329"/>
                  <w:kern w:val="0"/>
                  <w:szCs w:val="24"/>
                </w:rPr>
                <m:t>-</m:t>
              </m:r>
              <m:r>
                <w:rPr>
                  <w:rFonts w:ascii="Cambria Math" w:hAnsi="Cambria Math"/>
                  <w:color w:val="1F2329"/>
                  <w:kern w:val="0"/>
                  <w:szCs w:val="24"/>
                </w:rPr>
                <m:t>1</m:t>
              </m:r>
            </m:sup>
          </m:sSup>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C</m:t>
            </m:r>
          </m:e>
          <m:sub>
            <m:r>
              <w:rPr>
                <w:rFonts w:ascii="Cambria Math" w:hAnsi="Cambria Math"/>
              </w:rPr>
              <m:t>Seq</m:t>
            </m:r>
          </m:sub>
        </m:sSub>
      </m:oMath>
      <w:proofErr w:type="gramStart"/>
      <w:r>
        <w:rPr>
          <w:rFonts w:ascii="Times New Roman" w:hAnsi="Times New Roman"/>
          <w:kern w:val="0"/>
        </w:rPr>
        <w:t>—</w:t>
      </w:r>
      <w:r>
        <w:rPr>
          <w:rFonts w:ascii="Times New Roman" w:hAnsi="Times New Roman"/>
        </w:rPr>
        <w:t>平衡</w:t>
      </w:r>
      <w:proofErr w:type="gramEnd"/>
      <w:r>
        <w:rPr>
          <w:rFonts w:ascii="Times New Roman" w:hAnsi="Times New Roman"/>
        </w:rPr>
        <w:t>时土壤</w:t>
      </w:r>
      <w:r>
        <w:rPr>
          <w:rFonts w:ascii="Times New Roman" w:hAnsi="Times New Roman"/>
        </w:rPr>
        <w:t>放射性核素</w:t>
      </w:r>
      <w:r>
        <w:rPr>
          <w:rFonts w:ascii="Times New Roman" w:hAnsi="Times New Roman"/>
        </w:rPr>
        <w:t>浓度（</w:t>
      </w:r>
      <w:r>
        <w:rPr>
          <w:rFonts w:ascii="Times New Roman" w:hAnsi="Times New Roman"/>
        </w:rPr>
        <w:t>Bq·g</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λ</m:t>
            </m:r>
          </m:e>
          <m:sub>
            <m:r>
              <w:rPr>
                <w:rFonts w:ascii="Cambria Math" w:hAnsi="Cambria Math"/>
              </w:rPr>
              <m:t>S</m:t>
            </m:r>
          </m:sub>
        </m:sSub>
      </m:oMath>
      <w:r>
        <w:rPr>
          <w:rFonts w:ascii="Times New Roman" w:hAnsi="Times New Roman"/>
          <w:kern w:val="0"/>
        </w:rPr>
        <w:t>—</w:t>
      </w:r>
      <w:r>
        <w:rPr>
          <w:rFonts w:ascii="Times New Roman" w:hAnsi="Times New Roman"/>
        </w:rPr>
        <w:t>土壤移除常数（淋溶和吸收）。</w:t>
      </w:r>
    </w:p>
    <w:p w:rsidR="003C2CC0" w:rsidRDefault="00D71428">
      <w:pPr>
        <w:ind w:firstLine="480"/>
        <w:rPr>
          <w:rFonts w:ascii="Times New Roman" w:hAnsi="Times New Roman"/>
        </w:rPr>
      </w:pPr>
      <w:r>
        <w:rPr>
          <w:rFonts w:ascii="Times New Roman" w:hAnsi="Times New Roman"/>
        </w:rPr>
        <w:t>3</w:t>
      </w:r>
      <w:r>
        <w:rPr>
          <w:rFonts w:ascii="Times New Roman" w:hAnsi="Times New Roman"/>
        </w:rPr>
        <w:t>）在</w:t>
      </w:r>
      <w:r>
        <w:rPr>
          <w:rFonts w:ascii="Times New Roman" w:hAnsi="Times New Roman"/>
        </w:rPr>
        <w:t>30</w:t>
      </w:r>
      <w:r>
        <w:rPr>
          <w:rFonts w:ascii="Times New Roman" w:hAnsi="Times New Roman"/>
        </w:rPr>
        <w:t>年期限内，土壤放射性</w:t>
      </w:r>
      <w:r>
        <w:rPr>
          <w:rFonts w:ascii="Times New Roman" w:hAnsi="Times New Roman"/>
        </w:rPr>
        <w:t>核素</w:t>
      </w:r>
      <w:r>
        <w:rPr>
          <w:rFonts w:ascii="Times New Roman" w:hAnsi="Times New Roman"/>
        </w:rPr>
        <w:t>浓度将累积</w:t>
      </w:r>
    </w:p>
    <w:p w:rsidR="003C2CC0" w:rsidRDefault="00D71428">
      <w:pPr>
        <w:ind w:firstLine="480"/>
        <w:jc w:val="center"/>
        <w:rPr>
          <w:rFonts w:ascii="Times New Roman" w:hAnsi="Times New Roman"/>
          <w:color w:val="1F2329"/>
          <w:kern w:val="0"/>
          <w:szCs w:val="24"/>
        </w:rPr>
      </w:pPr>
      <m:oMathPara>
        <m:oMath>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S</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S</m:t>
              </m:r>
              <m:r>
                <w:rPr>
                  <w:rFonts w:ascii="Cambria Math" w:hAnsi="Cambria Math"/>
                  <w:color w:val="1F2329"/>
                  <w:kern w:val="0"/>
                  <w:szCs w:val="24"/>
                </w:rPr>
                <m:t>eq</m:t>
              </m:r>
            </m:sub>
          </m:sSub>
          <m:r>
            <w:rPr>
              <w:rFonts w:ascii="Cambria Math" w:hAnsi="Cambria Math"/>
              <w:color w:val="1F2329"/>
              <w:kern w:val="0"/>
              <w:szCs w:val="24"/>
            </w:rPr>
            <m:t>*</m:t>
          </m:r>
          <m:sSup>
            <m:sSupPr>
              <m:ctrlPr>
                <w:rPr>
                  <w:rFonts w:ascii="Cambria Math" w:hAnsi="Cambria Math"/>
                  <w:i/>
                  <w:color w:val="1F2329"/>
                  <w:kern w:val="0"/>
                  <w:szCs w:val="24"/>
                </w:rPr>
              </m:ctrlPr>
            </m:sSupPr>
            <m:e>
              <m:r>
                <w:rPr>
                  <w:rFonts w:ascii="Cambria Math" w:hAnsi="Cambria Math"/>
                  <w:color w:val="1F2329"/>
                  <w:kern w:val="0"/>
                  <w:szCs w:val="24"/>
                </w:rPr>
                <m:t>(1-</m:t>
              </m:r>
              <m:r>
                <w:rPr>
                  <w:rFonts w:ascii="Cambria Math" w:hAnsi="Cambria Math"/>
                  <w:color w:val="1F2329"/>
                  <w:kern w:val="0"/>
                  <w:szCs w:val="24"/>
                </w:rPr>
                <m:t>e</m:t>
              </m:r>
            </m:e>
            <m:sup>
              <m:r>
                <w:rPr>
                  <w:rFonts w:ascii="Cambria Math" w:hAnsi="Cambria Math"/>
                  <w:color w:val="1F2329"/>
                  <w:kern w:val="0"/>
                  <w:szCs w:val="24"/>
                </w:rPr>
                <m:t>-</m:t>
              </m:r>
              <m:r>
                <w:rPr>
                  <w:rFonts w:ascii="Cambria Math" w:hAnsi="Cambria Math"/>
                  <w:color w:val="1F2329"/>
                  <w:kern w:val="0"/>
                  <w:szCs w:val="24"/>
                </w:rPr>
                <m:t>λt</m:t>
              </m:r>
            </m:sup>
          </m:sSup>
          <m:r>
            <w:rPr>
              <w:rFonts w:ascii="Cambria Math" w:hAnsi="Cambria Math"/>
              <w:color w:val="1F2329"/>
              <w:kern w:val="0"/>
              <w:szCs w:val="24"/>
            </w:rPr>
            <m:t>)</m:t>
          </m:r>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C</m:t>
            </m:r>
          </m:e>
          <m:sub>
            <m:r>
              <w:rPr>
                <w:rFonts w:ascii="Cambria Math" w:hAnsi="Cambria Math"/>
              </w:rPr>
              <m:t>S</m:t>
            </m:r>
          </m:sub>
        </m:sSub>
      </m:oMath>
      <w:r>
        <w:rPr>
          <w:rFonts w:ascii="Times New Roman" w:hAnsi="Times New Roman"/>
          <w:kern w:val="0"/>
        </w:rPr>
        <w:t>—</w:t>
      </w:r>
      <w:r>
        <w:rPr>
          <w:rFonts w:ascii="Times New Roman" w:hAnsi="Times New Roman"/>
        </w:rPr>
        <w:t>土壤累积</w:t>
      </w:r>
      <w:r>
        <w:rPr>
          <w:rFonts w:ascii="Times New Roman" w:hAnsi="Times New Roman"/>
        </w:rPr>
        <w:t>放射性核素</w:t>
      </w:r>
      <w:r>
        <w:rPr>
          <w:rFonts w:ascii="Times New Roman" w:hAnsi="Times New Roman"/>
        </w:rPr>
        <w:t>浓度（</w:t>
      </w:r>
      <w:r>
        <w:rPr>
          <w:rFonts w:ascii="Times New Roman" w:hAnsi="Times New Roman"/>
        </w:rPr>
        <w:t>Bq·g</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C</m:t>
            </m:r>
          </m:e>
          <m:sub>
            <m:eqArr>
              <m:eqArrPr>
                <m:ctrlPr>
                  <w:rPr>
                    <w:rFonts w:ascii="Cambria Math" w:hAnsi="Cambria Math"/>
                    <w:i/>
                  </w:rPr>
                </m:ctrlPr>
              </m:eqArrPr>
              <m:e>
                <m:r>
                  <w:rPr>
                    <w:rFonts w:ascii="Cambria Math" w:hAnsi="Cambria Math"/>
                  </w:rPr>
                  <m:t>Seq</m:t>
                </m:r>
              </m:e>
              <m:e/>
            </m:eqArr>
          </m:sub>
        </m:sSub>
      </m:oMath>
      <w:proofErr w:type="gramStart"/>
      <w:r>
        <w:rPr>
          <w:rFonts w:ascii="Times New Roman" w:hAnsi="Times New Roman"/>
          <w:kern w:val="0"/>
        </w:rPr>
        <w:t>—</w:t>
      </w:r>
      <w:r>
        <w:rPr>
          <w:rFonts w:ascii="Times New Roman" w:hAnsi="Times New Roman"/>
        </w:rPr>
        <w:t>平衡</w:t>
      </w:r>
      <w:proofErr w:type="gramEnd"/>
      <w:r>
        <w:rPr>
          <w:rFonts w:ascii="Times New Roman" w:hAnsi="Times New Roman"/>
        </w:rPr>
        <w:t>时土壤</w:t>
      </w:r>
      <w:r>
        <w:rPr>
          <w:rFonts w:ascii="Times New Roman" w:hAnsi="Times New Roman"/>
        </w:rPr>
        <w:t>放射性核素</w:t>
      </w:r>
      <w:r>
        <w:rPr>
          <w:rFonts w:ascii="Times New Roman" w:hAnsi="Times New Roman"/>
        </w:rPr>
        <w:t>浓度（</w:t>
      </w:r>
      <w:r>
        <w:rPr>
          <w:rFonts w:ascii="Times New Roman" w:hAnsi="Times New Roman"/>
        </w:rPr>
        <w:t>Bq·g</w:t>
      </w:r>
      <w:r>
        <w:rPr>
          <w:rFonts w:ascii="Times New Roman" w:hAnsi="Times New Roman"/>
          <w:vertAlign w:val="superscript"/>
        </w:rPr>
        <w:t>-1</w:t>
      </w:r>
      <w:r>
        <w:rPr>
          <w:rFonts w:ascii="Times New Roman" w:hAnsi="Times New Roman"/>
        </w:rPr>
        <w:t>）</w:t>
      </w:r>
      <w:r>
        <w:rPr>
          <w:rFonts w:ascii="Times New Roman" w:hAnsi="Times New Roman"/>
        </w:rPr>
        <w:t>。</w:t>
      </w:r>
    </w:p>
    <w:p w:rsidR="003C2CC0" w:rsidRDefault="00D71428">
      <w:pPr>
        <w:ind w:firstLineChars="200" w:firstLine="420"/>
        <w:rPr>
          <w:rFonts w:ascii="Times New Roman" w:hAnsi="Times New Roman"/>
        </w:rPr>
      </w:pPr>
      <w:r>
        <w:rPr>
          <w:rFonts w:ascii="Times New Roman" w:hAnsi="Times New Roman"/>
        </w:rPr>
        <w:t>该浓度</w:t>
      </w:r>
      <w:proofErr w:type="gramStart"/>
      <w:r>
        <w:rPr>
          <w:rFonts w:ascii="Times New Roman" w:hAnsi="Times New Roman"/>
        </w:rPr>
        <w:t>值</w:t>
      </w:r>
      <w:r>
        <w:rPr>
          <w:rFonts w:ascii="Times New Roman" w:hAnsi="Times New Roman"/>
        </w:rPr>
        <w:t>用于</w:t>
      </w:r>
      <w:proofErr w:type="gramEnd"/>
      <w:r>
        <w:rPr>
          <w:rFonts w:ascii="Times New Roman" w:hAnsi="Times New Roman"/>
        </w:rPr>
        <w:t>后续计算</w:t>
      </w:r>
      <w:r>
        <w:rPr>
          <w:rFonts w:ascii="Times New Roman" w:hAnsi="Times New Roman" w:hint="eastAsia"/>
        </w:rPr>
        <w:t>食入</w:t>
      </w:r>
      <w:r>
        <w:rPr>
          <w:rFonts w:ascii="Times New Roman" w:hAnsi="Times New Roman"/>
        </w:rPr>
        <w:t>灌溉</w:t>
      </w:r>
      <w:r>
        <w:rPr>
          <w:rFonts w:ascii="Times New Roman" w:hAnsi="Times New Roman"/>
        </w:rPr>
        <w:t>农产品</w:t>
      </w:r>
      <w:r>
        <w:rPr>
          <w:rFonts w:ascii="Times New Roman" w:hAnsi="Times New Roman"/>
        </w:rPr>
        <w:t>和</w:t>
      </w:r>
      <w:r>
        <w:rPr>
          <w:rFonts w:ascii="Times New Roman" w:hAnsi="Times New Roman"/>
        </w:rPr>
        <w:t>动物产品</w:t>
      </w:r>
      <w:r>
        <w:rPr>
          <w:rFonts w:ascii="Times New Roman" w:hAnsi="Times New Roman"/>
        </w:rPr>
        <w:t>带来的风险。</w:t>
      </w:r>
    </w:p>
    <w:p w:rsidR="003C2CC0" w:rsidRDefault="00D71428">
      <w:pPr>
        <w:rPr>
          <w:rFonts w:ascii="Times New Roman" w:hAnsi="Times New Roman"/>
          <w:kern w:val="0"/>
        </w:rPr>
      </w:pPr>
      <w:r>
        <w:rPr>
          <w:rFonts w:ascii="Times New Roman" w:hAnsi="Times New Roman" w:hint="eastAsia"/>
          <w:kern w:val="0"/>
        </w:rPr>
        <w:t>B</w:t>
      </w:r>
      <w:r>
        <w:rPr>
          <w:rFonts w:ascii="Times New Roman" w:hAnsi="Times New Roman"/>
          <w:kern w:val="0"/>
        </w:rPr>
        <w:t>.</w:t>
      </w:r>
      <w:r>
        <w:rPr>
          <w:rFonts w:ascii="Times New Roman" w:hAnsi="Times New Roman"/>
          <w:kern w:val="0"/>
        </w:rPr>
        <w:t>2.2</w:t>
      </w:r>
      <w:r>
        <w:rPr>
          <w:rFonts w:ascii="Times New Roman" w:hAnsi="Times New Roman"/>
          <w:kern w:val="0"/>
        </w:rPr>
        <w:t>.2</w:t>
      </w:r>
      <w:r>
        <w:rPr>
          <w:rFonts w:ascii="Times New Roman" w:hAnsi="Times New Roman" w:hint="eastAsia"/>
          <w:kern w:val="0"/>
        </w:rPr>
        <w:t>食入</w:t>
      </w:r>
      <w:r>
        <w:rPr>
          <w:rFonts w:ascii="Times New Roman" w:hAnsi="Times New Roman"/>
          <w:kern w:val="0"/>
        </w:rPr>
        <w:t>灌溉</w:t>
      </w:r>
      <w:r>
        <w:rPr>
          <w:rFonts w:ascii="Times New Roman" w:hAnsi="Times New Roman"/>
          <w:kern w:val="0"/>
        </w:rPr>
        <w:t>农产品</w:t>
      </w:r>
      <w:r>
        <w:rPr>
          <w:rFonts w:ascii="Times New Roman" w:hAnsi="Times New Roman"/>
          <w:kern w:val="0"/>
        </w:rPr>
        <w:t>对居民的潜在风险</w:t>
      </w:r>
    </w:p>
    <w:p w:rsidR="003C2CC0" w:rsidRDefault="00D71428">
      <w:pPr>
        <w:ind w:firstLine="480"/>
        <w:rPr>
          <w:rFonts w:ascii="Times New Roman" w:hAnsi="Times New Roman"/>
        </w:rPr>
      </w:pPr>
      <w:r>
        <w:rPr>
          <w:rFonts w:ascii="Times New Roman" w:hAnsi="Times New Roman"/>
        </w:rPr>
        <w:t>以蔬菜为例，蔬菜</w:t>
      </w:r>
      <w:r>
        <w:rPr>
          <w:rFonts w:ascii="Times New Roman" w:hAnsi="Times New Roman"/>
        </w:rPr>
        <w:t>可能受到灌溉水喷洒的外部沉积或土壤中放射性</w:t>
      </w:r>
      <w:r>
        <w:rPr>
          <w:rFonts w:ascii="Times New Roman" w:hAnsi="Times New Roman"/>
        </w:rPr>
        <w:t>核</w:t>
      </w:r>
      <w:r>
        <w:rPr>
          <w:rFonts w:ascii="Times New Roman" w:hAnsi="Times New Roman"/>
        </w:rPr>
        <w:t>素吸收的污染。由于喷洒后的蔬菜</w:t>
      </w:r>
      <w:r>
        <w:rPr>
          <w:rFonts w:ascii="Times New Roman" w:hAnsi="Times New Roman" w:hint="eastAsia"/>
        </w:rPr>
        <w:t>食入</w:t>
      </w:r>
      <w:r>
        <w:rPr>
          <w:rFonts w:ascii="Times New Roman" w:hAnsi="Times New Roman"/>
        </w:rPr>
        <w:t>前通常会清洗，因此不考虑灌溉水喷洒或土壤在蔬菜表面的沉积污染。但在经</w:t>
      </w:r>
      <w:r>
        <w:rPr>
          <w:rFonts w:ascii="Times New Roman" w:hAnsi="Times New Roman"/>
        </w:rPr>
        <w:t>30</w:t>
      </w:r>
      <w:r>
        <w:rPr>
          <w:rFonts w:ascii="Times New Roman" w:hAnsi="Times New Roman"/>
        </w:rPr>
        <w:t>年灌溉的土壤中种植的蔬菜，可能会吸收一定量的放射性</w:t>
      </w:r>
      <w:r>
        <w:rPr>
          <w:rFonts w:ascii="Times New Roman" w:hAnsi="Times New Roman"/>
        </w:rPr>
        <w:t>核素</w:t>
      </w:r>
      <w:r>
        <w:rPr>
          <w:rFonts w:ascii="Times New Roman" w:hAnsi="Times New Roman"/>
        </w:rPr>
        <w:t>。</w:t>
      </w:r>
    </w:p>
    <w:p w:rsidR="003C2CC0" w:rsidRDefault="00D71428">
      <w:pPr>
        <w:ind w:firstLine="480"/>
        <w:rPr>
          <w:rFonts w:ascii="Times New Roman" w:hAnsi="Times New Roman"/>
        </w:rPr>
      </w:pPr>
      <w:r>
        <w:rPr>
          <w:rFonts w:ascii="Times New Roman" w:hAnsi="Times New Roman"/>
        </w:rPr>
        <w:t>1</w:t>
      </w:r>
      <w:r>
        <w:rPr>
          <w:rFonts w:ascii="Times New Roman" w:hAnsi="Times New Roman"/>
        </w:rPr>
        <w:t>）灌溉土壤中种植的蔬菜含放射性</w:t>
      </w:r>
      <w:r>
        <w:rPr>
          <w:rFonts w:ascii="Times New Roman" w:hAnsi="Times New Roman"/>
        </w:rPr>
        <w:t>核素</w:t>
      </w:r>
      <w:r>
        <w:rPr>
          <w:rFonts w:ascii="Times New Roman" w:hAnsi="Times New Roman"/>
        </w:rPr>
        <w:t>浓度</w:t>
      </w:r>
    </w:p>
    <w:p w:rsidR="003C2CC0" w:rsidRDefault="00D71428">
      <w:pPr>
        <w:jc w:val="center"/>
        <w:rPr>
          <w:rFonts w:ascii="Times New Roman" w:hAnsi="Times New Roman"/>
        </w:rPr>
      </w:pPr>
      <m:oMathPara>
        <m:oMath>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Veg</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S</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CF</m:t>
              </m:r>
            </m:e>
            <m:sub>
              <m:r>
                <w:rPr>
                  <w:rFonts w:ascii="Cambria Math" w:hAnsi="Cambria Math"/>
                  <w:color w:val="1F2329"/>
                  <w:kern w:val="0"/>
                  <w:szCs w:val="24"/>
                </w:rPr>
                <m:t>Veg</m:t>
              </m:r>
            </m:sub>
          </m:sSub>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m:t>
            </m:r>
          </m:e>
          <m:sub>
            <m:r>
              <w:rPr>
                <w:rFonts w:ascii="Cambria Math" w:hAnsi="Cambria Math"/>
              </w:rPr>
              <m:t>Veg</m:t>
            </m:r>
          </m:sub>
        </m:sSub>
      </m:oMath>
      <w:proofErr w:type="gramStart"/>
      <w:r>
        <w:rPr>
          <w:rFonts w:ascii="Times New Roman" w:hAnsi="Times New Roman"/>
          <w:kern w:val="0"/>
        </w:rPr>
        <w:t>—</w:t>
      </w:r>
      <w:r>
        <w:rPr>
          <w:rFonts w:ascii="Times New Roman" w:hAnsi="Times New Roman"/>
          <w:color w:val="1F2329"/>
          <w:kern w:val="0"/>
          <w:szCs w:val="24"/>
        </w:rPr>
        <w:t>蔬菜</w:t>
      </w:r>
      <w:proofErr w:type="gramEnd"/>
      <w:r>
        <w:rPr>
          <w:rFonts w:ascii="Times New Roman" w:hAnsi="Times New Roman"/>
          <w:color w:val="1F2329"/>
          <w:kern w:val="0"/>
          <w:szCs w:val="24"/>
        </w:rPr>
        <w:t>中</w:t>
      </w:r>
      <w:r>
        <w:rPr>
          <w:rFonts w:ascii="Times New Roman" w:hAnsi="Times New Roman"/>
        </w:rPr>
        <w:t>放射性</w:t>
      </w:r>
      <w:r>
        <w:rPr>
          <w:rFonts w:ascii="Times New Roman" w:hAnsi="Times New Roman"/>
        </w:rPr>
        <w:t>核素</w:t>
      </w:r>
      <w:r>
        <w:rPr>
          <w:rFonts w:ascii="Times New Roman" w:hAnsi="Times New Roman"/>
          <w:color w:val="1F2329"/>
          <w:kern w:val="0"/>
          <w:szCs w:val="24"/>
        </w:rPr>
        <w:t>浓度（</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m:t>
            </m:r>
          </m:e>
          <m:sub>
            <m:r>
              <w:rPr>
                <w:rFonts w:ascii="Cambria Math" w:hAnsi="Cambria Math"/>
              </w:rPr>
              <m:t>S</m:t>
            </m:r>
          </m:sub>
        </m:sSub>
      </m:oMath>
      <w:r>
        <w:rPr>
          <w:rFonts w:ascii="Times New Roman" w:hAnsi="Times New Roman"/>
          <w:kern w:val="0"/>
        </w:rPr>
        <w:t>—</w:t>
      </w:r>
      <w:r>
        <w:rPr>
          <w:rFonts w:ascii="Times New Roman" w:hAnsi="Times New Roman"/>
          <w:color w:val="1F2329"/>
          <w:kern w:val="0"/>
          <w:szCs w:val="24"/>
        </w:rPr>
        <w:t>土壤中</w:t>
      </w:r>
      <w:r>
        <w:rPr>
          <w:rFonts w:ascii="Times New Roman" w:hAnsi="Times New Roman"/>
        </w:rPr>
        <w:t>放射性</w:t>
      </w:r>
      <w:r>
        <w:rPr>
          <w:rFonts w:ascii="Times New Roman" w:hAnsi="Times New Roman"/>
        </w:rPr>
        <w:t>核素</w:t>
      </w:r>
      <w:r>
        <w:rPr>
          <w:rFonts w:ascii="Times New Roman" w:hAnsi="Times New Roman"/>
          <w:color w:val="1F2329"/>
          <w:kern w:val="0"/>
          <w:szCs w:val="24"/>
        </w:rPr>
        <w:t>浓度（</w:t>
      </w:r>
      <w:r>
        <w:rPr>
          <w:rFonts w:ascii="Times New Roman" w:hAnsi="Times New Roman"/>
        </w:rPr>
        <w:t>Bq·g</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CF</m:t>
            </m:r>
          </m:e>
          <m:sub>
            <m:r>
              <w:rPr>
                <w:rFonts w:ascii="Cambria Math" w:hAnsi="Cambria Math"/>
              </w:rPr>
              <m:t>Veg</m:t>
            </m:r>
          </m:sub>
        </m:sSub>
      </m:oMath>
      <w:r>
        <w:rPr>
          <w:rFonts w:ascii="Times New Roman" w:hAnsi="Times New Roman"/>
          <w:kern w:val="0"/>
        </w:rPr>
        <w:t>—</w:t>
      </w:r>
      <w:r>
        <w:rPr>
          <w:rFonts w:ascii="Times New Roman" w:hAnsi="Times New Roman"/>
        </w:rPr>
        <w:t>放射性</w:t>
      </w:r>
      <w:r>
        <w:rPr>
          <w:rFonts w:ascii="Times New Roman" w:hAnsi="Times New Roman"/>
        </w:rPr>
        <w:t>核素</w:t>
      </w:r>
      <w:r>
        <w:rPr>
          <w:rFonts w:ascii="Times New Roman" w:hAnsi="Times New Roman" w:hint="eastAsia"/>
        </w:rPr>
        <w:t>在蔬菜中</w:t>
      </w:r>
      <w:r>
        <w:rPr>
          <w:rFonts w:ascii="Times New Roman" w:hAnsi="Times New Roman"/>
          <w:color w:val="1F2329"/>
          <w:kern w:val="0"/>
          <w:szCs w:val="24"/>
        </w:rPr>
        <w:t>的浓度系数（</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rPr>
        <w:t>植株</w:t>
      </w:r>
      <w:r>
        <w:rPr>
          <w:rFonts w:ascii="Times New Roman" w:eastAsia="微软雅黑" w:hAnsi="Times New Roman"/>
          <w:color w:val="1F2329"/>
          <w:kern w:val="0"/>
          <w:szCs w:val="24"/>
        </w:rPr>
        <w:t>/</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土壤）</w:t>
      </w:r>
      <w:r>
        <w:rPr>
          <w:rFonts w:ascii="Times New Roman" w:hAnsi="Times New Roman"/>
          <w:color w:val="1F2329"/>
          <w:kern w:val="0"/>
          <w:szCs w:val="24"/>
        </w:rPr>
        <w:t>。</w:t>
      </w:r>
    </w:p>
    <w:p w:rsidR="003C2CC0" w:rsidRDefault="00D71428">
      <w:pPr>
        <w:ind w:firstLine="480"/>
        <w:rPr>
          <w:rFonts w:ascii="Times New Roman" w:hAnsi="Times New Roman"/>
        </w:rPr>
      </w:pPr>
      <w:r>
        <w:rPr>
          <w:rFonts w:ascii="Times New Roman" w:hAnsi="Times New Roman"/>
        </w:rPr>
        <w:t>由于计算中使用的是</w:t>
      </w:r>
      <w:r>
        <w:rPr>
          <w:rFonts w:ascii="Times New Roman" w:hAnsi="Times New Roman"/>
        </w:rPr>
        <w:t>30</w:t>
      </w:r>
      <w:r>
        <w:rPr>
          <w:rFonts w:ascii="Times New Roman" w:hAnsi="Times New Roman"/>
        </w:rPr>
        <w:t>年土壤放射性</w:t>
      </w:r>
      <w:r>
        <w:rPr>
          <w:rFonts w:ascii="Times New Roman" w:hAnsi="Times New Roman"/>
        </w:rPr>
        <w:t>核素</w:t>
      </w:r>
      <w:r>
        <w:rPr>
          <w:rFonts w:ascii="Times New Roman" w:hAnsi="Times New Roman"/>
        </w:rPr>
        <w:t>浓度而非该期间的平均值，因此该数值可视为蔬菜放射性</w:t>
      </w:r>
      <w:r>
        <w:rPr>
          <w:rFonts w:ascii="Times New Roman" w:hAnsi="Times New Roman"/>
        </w:rPr>
        <w:t>核素</w:t>
      </w:r>
      <w:r>
        <w:rPr>
          <w:rFonts w:ascii="Times New Roman" w:hAnsi="Times New Roman"/>
        </w:rPr>
        <w:t>浓度的最大值。</w:t>
      </w:r>
    </w:p>
    <w:p w:rsidR="003C2CC0" w:rsidRDefault="00D71428">
      <w:pPr>
        <w:ind w:firstLine="480"/>
        <w:rPr>
          <w:rFonts w:ascii="Times New Roman" w:hAnsi="Times New Roman"/>
          <w:color w:val="1F2329"/>
          <w:kern w:val="0"/>
          <w:szCs w:val="24"/>
        </w:rPr>
      </w:pPr>
      <w:r>
        <w:rPr>
          <w:rFonts w:ascii="Times New Roman" w:hAnsi="Times New Roman"/>
        </w:rPr>
        <w:t>2</w:t>
      </w:r>
      <w:r>
        <w:rPr>
          <w:rFonts w:ascii="Times New Roman" w:hAnsi="Times New Roman"/>
        </w:rPr>
        <w:t>）</w:t>
      </w:r>
      <w:r>
        <w:rPr>
          <w:rFonts w:ascii="Times New Roman" w:hAnsi="Times New Roman"/>
          <w:color w:val="1F2329"/>
          <w:kern w:val="0"/>
          <w:szCs w:val="24"/>
        </w:rPr>
        <w:t>居民</w:t>
      </w:r>
      <w:r>
        <w:rPr>
          <w:rFonts w:ascii="Times New Roman" w:hAnsi="Times New Roman" w:hint="eastAsia"/>
          <w:color w:val="1F2329"/>
          <w:kern w:val="0"/>
          <w:szCs w:val="24"/>
        </w:rPr>
        <w:t>食</w:t>
      </w:r>
      <w:proofErr w:type="gramStart"/>
      <w:r>
        <w:rPr>
          <w:rFonts w:ascii="Times New Roman" w:hAnsi="Times New Roman" w:hint="eastAsia"/>
          <w:color w:val="1F2329"/>
          <w:kern w:val="0"/>
          <w:szCs w:val="24"/>
        </w:rPr>
        <w:t>入</w:t>
      </w:r>
      <w:r>
        <w:rPr>
          <w:rFonts w:ascii="Times New Roman" w:hAnsi="Times New Roman"/>
          <w:color w:val="1F2329"/>
          <w:kern w:val="0"/>
          <w:szCs w:val="24"/>
        </w:rPr>
        <w:t>蔬菜</w:t>
      </w:r>
      <w:proofErr w:type="gramEnd"/>
      <w:r>
        <w:rPr>
          <w:rFonts w:ascii="Times New Roman" w:hAnsi="Times New Roman"/>
          <w:color w:val="1F2329"/>
          <w:kern w:val="0"/>
          <w:szCs w:val="24"/>
        </w:rPr>
        <w:t>的</w:t>
      </w:r>
      <w:r>
        <w:rPr>
          <w:rFonts w:ascii="Times New Roman" w:hAnsi="Times New Roman"/>
          <w:color w:val="1F2329"/>
          <w:kern w:val="0"/>
          <w:szCs w:val="24"/>
        </w:rPr>
        <w:t>30</w:t>
      </w:r>
      <w:r>
        <w:rPr>
          <w:rFonts w:ascii="Times New Roman" w:hAnsi="Times New Roman"/>
          <w:color w:val="1F2329"/>
          <w:kern w:val="0"/>
          <w:szCs w:val="24"/>
        </w:rPr>
        <w:t>年终身</w:t>
      </w:r>
      <w:r>
        <w:rPr>
          <w:rFonts w:ascii="Times New Roman" w:hAnsi="Times New Roman"/>
          <w:color w:val="1F2329"/>
          <w:kern w:val="0"/>
          <w:szCs w:val="24"/>
        </w:rPr>
        <w:t>致病</w:t>
      </w:r>
      <w:r>
        <w:rPr>
          <w:rFonts w:ascii="Times New Roman" w:hAnsi="Times New Roman"/>
          <w:color w:val="1F2329"/>
          <w:kern w:val="0"/>
          <w:szCs w:val="24"/>
        </w:rPr>
        <w:t>风险</w:t>
      </w:r>
    </w:p>
    <w:p w:rsidR="003C2CC0" w:rsidRDefault="00D71428">
      <w:pPr>
        <w:jc w:val="center"/>
        <w:rPr>
          <w:rFonts w:ascii="Times New Roman" w:hAnsi="Times New Roman"/>
        </w:rPr>
      </w:pPr>
      <m:oMathPara>
        <m:oMath>
          <m:r>
            <w:rPr>
              <w:rFonts w:ascii="Cambria Math" w:hAnsi="Cambria Math"/>
              <w:color w:val="1F2329"/>
              <w:kern w:val="0"/>
              <w:szCs w:val="24"/>
            </w:rPr>
            <m:t>Risk</m:t>
          </m:r>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I</m:t>
              </m:r>
            </m:e>
            <m:sub>
              <m:r>
                <w:rPr>
                  <w:rFonts w:ascii="Cambria Math" w:hAnsi="Cambria Math"/>
                  <w:color w:val="1F2329"/>
                  <w:kern w:val="0"/>
                  <w:szCs w:val="24"/>
                </w:rPr>
                <m:t>Veg</m:t>
              </m:r>
            </m:sub>
          </m:sSub>
          <m:r>
            <w:rPr>
              <w:rFonts w:ascii="Cambria Math" w:hAnsi="Cambria Math"/>
              <w:color w:val="1F2329"/>
              <w:kern w:val="0"/>
              <w:szCs w:val="24"/>
            </w:rPr>
            <m:t>*</m:t>
          </m:r>
          <m:r>
            <w:rPr>
              <w:rFonts w:ascii="Cambria Math" w:hAnsi="Cambria Math"/>
              <w:color w:val="1F2329"/>
              <w:kern w:val="0"/>
              <w:szCs w:val="24"/>
            </w:rPr>
            <m:t>T</m:t>
          </m:r>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RCF</m:t>
              </m:r>
            </m:e>
            <m:sub>
              <m:r>
                <w:rPr>
                  <w:rFonts w:ascii="Cambria Math" w:hAnsi="Cambria Math"/>
                  <w:color w:val="1F2329"/>
                  <w:kern w:val="0"/>
                  <w:szCs w:val="24"/>
                </w:rPr>
                <m:t>M</m:t>
              </m:r>
            </m:sub>
          </m:sSub>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I</m:t>
            </m:r>
          </m:e>
          <m:sub>
            <m:r>
              <w:rPr>
                <w:rFonts w:ascii="Cambria Math" w:hAnsi="Cambria Math"/>
              </w:rPr>
              <m:t>Veg</m:t>
            </m:r>
          </m:sub>
        </m:sSub>
      </m:oMath>
      <w:r>
        <w:rPr>
          <w:rFonts w:ascii="Times New Roman" w:hAnsi="Times New Roman"/>
          <w:kern w:val="0"/>
        </w:rPr>
        <w:t>—</w:t>
      </w:r>
      <w:r>
        <w:rPr>
          <w:rFonts w:ascii="Times New Roman" w:hAnsi="Times New Roman"/>
        </w:rPr>
        <w:t>居民</w:t>
      </w:r>
      <w:r>
        <w:rPr>
          <w:rFonts w:ascii="Times New Roman" w:hAnsi="Times New Roman"/>
        </w:rPr>
        <w:t>放射性核素</w:t>
      </w:r>
      <w:r>
        <w:rPr>
          <w:rFonts w:ascii="Times New Roman" w:hAnsi="Times New Roman"/>
        </w:rPr>
        <w:t>摄入量（</w:t>
      </w:r>
      <w:r>
        <w:rPr>
          <w:rFonts w:ascii="Times New Roman" w:hAnsi="Times New Roman"/>
        </w:rPr>
        <w:t>Bq·y</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RCF</m:t>
            </m:r>
          </m:e>
          <m:sub>
            <m:r>
              <w:rPr>
                <w:rFonts w:ascii="Cambria Math" w:hAnsi="Cambria Math"/>
              </w:rPr>
              <m:t>M</m:t>
            </m:r>
          </m:sub>
        </m:sSub>
      </m:oMath>
      <w:r>
        <w:rPr>
          <w:rFonts w:ascii="Times New Roman" w:hAnsi="Times New Roman"/>
          <w:kern w:val="0"/>
        </w:rPr>
        <w:t>—</w:t>
      </w:r>
      <w:r>
        <w:rPr>
          <w:rFonts w:ascii="Times New Roman" w:hAnsi="Times New Roman"/>
        </w:rPr>
        <w:t>发病风险系数（</w:t>
      </w:r>
      <w:r>
        <w:rPr>
          <w:rFonts w:ascii="Times New Roman" w:hAnsi="Times New Roman"/>
        </w:rPr>
        <w:t>Bq</w:t>
      </w:r>
      <w:r>
        <w:rPr>
          <w:rFonts w:ascii="Times New Roman" w:hAnsi="Times New Roman"/>
          <w:vertAlign w:val="superscript"/>
        </w:rPr>
        <w:t>-1</w:t>
      </w:r>
      <w:r>
        <w:rPr>
          <w:rFonts w:ascii="Times New Roman" w:hAnsi="Times New Roman"/>
        </w:rPr>
        <w:t>）</w:t>
      </w:r>
      <w:r>
        <w:rPr>
          <w:rFonts w:ascii="Times New Roman" w:hAnsi="Times New Roman"/>
        </w:rPr>
        <w:t>。</w:t>
      </w:r>
    </w:p>
    <w:p w:rsidR="003C2CC0" w:rsidRDefault="00D71428">
      <w:pPr>
        <w:ind w:firstLineChars="200" w:firstLine="420"/>
        <w:rPr>
          <w:rFonts w:ascii="Times New Roman" w:hAnsi="Times New Roman"/>
        </w:rPr>
      </w:pPr>
      <w:r>
        <w:rPr>
          <w:rFonts w:ascii="Times New Roman" w:hAnsi="Times New Roman"/>
          <w:i/>
          <w:iCs/>
          <w:szCs w:val="24"/>
        </w:rPr>
        <w:t>T</w:t>
      </w:r>
      <w:r>
        <w:rPr>
          <w:rFonts w:ascii="Times New Roman" w:hAnsi="Times New Roman"/>
          <w:kern w:val="0"/>
        </w:rPr>
        <w:t>—</w:t>
      </w:r>
      <w:r>
        <w:rPr>
          <w:rFonts w:ascii="Times New Roman" w:hAnsi="Times New Roman"/>
        </w:rPr>
        <w:t>摄入期限（</w:t>
      </w:r>
      <w:r>
        <w:rPr>
          <w:rFonts w:ascii="Times New Roman" w:hAnsi="Times New Roman"/>
        </w:rPr>
        <w:t>30y</w:t>
      </w:r>
      <w:r>
        <w:rPr>
          <w:rFonts w:ascii="Times New Roman" w:hAnsi="Times New Roman"/>
        </w:rPr>
        <w:t>）。</w:t>
      </w:r>
    </w:p>
    <w:p w:rsidR="003C2CC0" w:rsidRDefault="003C2CC0">
      <w:pPr>
        <w:pStyle w:val="aff3"/>
      </w:pPr>
    </w:p>
    <w:p w:rsidR="003C2CC0" w:rsidRDefault="00D71428">
      <w:pPr>
        <w:pStyle w:val="aff3"/>
        <w:ind w:firstLineChars="0" w:firstLine="0"/>
        <w:rPr>
          <w:rFonts w:ascii="Times New Roman"/>
        </w:rPr>
      </w:pPr>
      <w:r>
        <w:rPr>
          <w:rFonts w:ascii="Times New Roman" w:hint="eastAsia"/>
        </w:rPr>
        <w:lastRenderedPageBreak/>
        <w:t>B</w:t>
      </w:r>
      <w:r>
        <w:rPr>
          <w:rFonts w:ascii="Times New Roman"/>
        </w:rPr>
        <w:t>.</w:t>
      </w:r>
      <w:r>
        <w:rPr>
          <w:rFonts w:ascii="Times New Roman"/>
        </w:rPr>
        <w:t>2.2</w:t>
      </w:r>
      <w:r>
        <w:rPr>
          <w:rFonts w:ascii="Times New Roman"/>
        </w:rPr>
        <w:t>.</w:t>
      </w:r>
      <w:r>
        <w:rPr>
          <w:rFonts w:ascii="Times New Roman"/>
        </w:rPr>
        <w:t>3</w:t>
      </w:r>
      <w:r>
        <w:rPr>
          <w:rFonts w:ascii="Times New Roman" w:hint="eastAsia"/>
        </w:rPr>
        <w:t>食入</w:t>
      </w:r>
      <w:r>
        <w:rPr>
          <w:rFonts w:ascii="Times New Roman"/>
        </w:rPr>
        <w:t>动物产品</w:t>
      </w:r>
      <w:r>
        <w:rPr>
          <w:rFonts w:ascii="Times New Roman"/>
        </w:rPr>
        <w:t>对居民的潜在风险</w:t>
      </w:r>
    </w:p>
    <w:p w:rsidR="003C2CC0" w:rsidRDefault="00D71428">
      <w:pPr>
        <w:ind w:firstLine="480"/>
        <w:rPr>
          <w:rFonts w:ascii="Times New Roman" w:hAnsi="Times New Roman"/>
          <w:color w:val="1F2329"/>
          <w:kern w:val="0"/>
          <w:szCs w:val="24"/>
        </w:rPr>
      </w:pPr>
      <w:r>
        <w:rPr>
          <w:rFonts w:ascii="Times New Roman" w:hAnsi="Times New Roman"/>
        </w:rPr>
        <w:t>以牛肉为例，</w:t>
      </w:r>
      <w:r>
        <w:rPr>
          <w:rFonts w:ascii="Times New Roman" w:hAnsi="Times New Roman"/>
          <w:color w:val="1F2329"/>
          <w:kern w:val="0"/>
          <w:szCs w:val="24"/>
        </w:rPr>
        <w:t>牛肉吸收污染水中的放射性</w:t>
      </w:r>
      <w:r>
        <w:rPr>
          <w:rFonts w:ascii="Times New Roman" w:hAnsi="Times New Roman"/>
          <w:color w:val="1F2329"/>
          <w:kern w:val="0"/>
          <w:szCs w:val="24"/>
        </w:rPr>
        <w:t>核素途径</w:t>
      </w:r>
      <w:r>
        <w:rPr>
          <w:rFonts w:ascii="Times New Roman" w:hAnsi="Times New Roman"/>
          <w:color w:val="1F2329"/>
          <w:kern w:val="0"/>
          <w:szCs w:val="24"/>
        </w:rPr>
        <w:t>包括牛饮用受污染水和</w:t>
      </w:r>
      <w:proofErr w:type="gramStart"/>
      <w:r>
        <w:rPr>
          <w:rFonts w:ascii="Times New Roman" w:hAnsi="Times New Roman" w:hint="eastAsia"/>
          <w:color w:val="1F2329"/>
          <w:kern w:val="0"/>
          <w:szCs w:val="24"/>
        </w:rPr>
        <w:t>食入</w:t>
      </w:r>
      <w:proofErr w:type="gramEnd"/>
      <w:r>
        <w:rPr>
          <w:rFonts w:ascii="Times New Roman" w:hAnsi="Times New Roman"/>
          <w:color w:val="1F2329"/>
          <w:kern w:val="0"/>
          <w:szCs w:val="24"/>
        </w:rPr>
        <w:t>灌溉土壤种植的饲料。</w:t>
      </w:r>
    </w:p>
    <w:p w:rsidR="003C2CC0" w:rsidRDefault="00D71428">
      <w:pPr>
        <w:ind w:firstLine="480"/>
        <w:rPr>
          <w:rFonts w:ascii="Times New Roman" w:hAnsi="Times New Roman"/>
        </w:rPr>
      </w:pPr>
      <w:r>
        <w:rPr>
          <w:rFonts w:ascii="Times New Roman" w:hAnsi="Times New Roman"/>
        </w:rPr>
        <w:t>1</w:t>
      </w:r>
      <w:r>
        <w:rPr>
          <w:rFonts w:ascii="Times New Roman" w:hAnsi="Times New Roman"/>
        </w:rPr>
        <w:t>）牛饮用受污染水后，牛肉中</w:t>
      </w:r>
      <w:r>
        <w:rPr>
          <w:rFonts w:ascii="Times New Roman" w:hAnsi="Times New Roman"/>
        </w:rPr>
        <w:t>放射性核素</w:t>
      </w:r>
      <w:r>
        <w:rPr>
          <w:rFonts w:ascii="Times New Roman" w:hAnsi="Times New Roman"/>
        </w:rPr>
        <w:t>浓度</w:t>
      </w:r>
    </w:p>
    <w:p w:rsidR="003C2CC0" w:rsidRDefault="00D71428">
      <w:pPr>
        <w:jc w:val="center"/>
        <w:rPr>
          <w:rFonts w:ascii="Times New Roman" w:hAnsi="Times New Roman"/>
        </w:rPr>
      </w:pPr>
      <m:oMathPara>
        <m:oMath>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Beef</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G</m:t>
              </m:r>
              <m:r>
                <w:rPr>
                  <w:rFonts w:ascii="Cambria Math" w:hAnsi="Cambria Math"/>
                  <w:color w:val="1F2329"/>
                  <w:kern w:val="0"/>
                  <w:szCs w:val="24"/>
                </w:rPr>
                <m:t>w</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Q</m:t>
              </m:r>
            </m:e>
            <m:sub>
              <m:r>
                <w:rPr>
                  <w:rFonts w:ascii="Cambria Math" w:hAnsi="Cambria Math"/>
                  <w:color w:val="1F2329"/>
                  <w:kern w:val="0"/>
                  <w:szCs w:val="24"/>
                </w:rPr>
                <m:t>W</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m:t>
              </m:r>
              <m:r>
                <w:rPr>
                  <w:rFonts w:ascii="Cambria Math" w:hAnsi="Cambria Math"/>
                  <w:color w:val="1F2329"/>
                  <w:kern w:val="0"/>
                  <w:szCs w:val="24"/>
                </w:rPr>
                <m:t>F</m:t>
              </m:r>
            </m:e>
            <m:sub>
              <m:r>
                <w:rPr>
                  <w:rFonts w:ascii="Cambria Math" w:hAnsi="Cambria Math"/>
                  <w:color w:val="1F2329"/>
                  <w:kern w:val="0"/>
                  <w:szCs w:val="24"/>
                </w:rPr>
                <m:t>Beef</m:t>
              </m:r>
            </m:sub>
          </m:sSub>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m:t>
            </m:r>
          </m:e>
          <m:sub>
            <m:r>
              <w:rPr>
                <w:rFonts w:ascii="Cambria Math" w:hAnsi="Cambria Math"/>
              </w:rPr>
              <m:t>Beef</m:t>
            </m:r>
          </m:sub>
        </m:sSub>
      </m:oMath>
      <w:r>
        <w:rPr>
          <w:rFonts w:ascii="Times New Roman" w:hAnsi="Times New Roman"/>
        </w:rPr>
        <w:t>—</w:t>
      </w:r>
      <w:r>
        <w:rPr>
          <w:rFonts w:ascii="Times New Roman" w:hAnsi="Times New Roman"/>
          <w:color w:val="1F2329"/>
          <w:kern w:val="0"/>
          <w:szCs w:val="24"/>
        </w:rPr>
        <w:t>牛肉中</w:t>
      </w:r>
      <w:r>
        <w:rPr>
          <w:rFonts w:ascii="Times New Roman" w:hAnsi="Times New Roman"/>
        </w:rPr>
        <w:t>放射性核素</w:t>
      </w:r>
      <w:r>
        <w:rPr>
          <w:rFonts w:ascii="Times New Roman" w:hAnsi="Times New Roman"/>
          <w:color w:val="1F2329"/>
          <w:kern w:val="0"/>
          <w:szCs w:val="24"/>
        </w:rPr>
        <w:t>浓度（</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m:t>
            </m:r>
          </m:e>
          <m:sub>
            <m:r>
              <w:rPr>
                <w:rFonts w:ascii="Cambria Math" w:hAnsi="Cambria Math"/>
              </w:rPr>
              <m:t>G</m:t>
            </m:r>
            <m:r>
              <w:rPr>
                <w:rFonts w:ascii="Cambria Math" w:hAnsi="Cambria Math"/>
              </w:rPr>
              <m:t>w</m:t>
            </m:r>
          </m:sub>
        </m:sSub>
      </m:oMath>
      <w:r>
        <w:rPr>
          <w:rFonts w:ascii="Times New Roman" w:hAnsi="Times New Roman"/>
        </w:rPr>
        <w:t>—</w:t>
      </w:r>
      <w:r>
        <w:rPr>
          <w:rFonts w:ascii="Times New Roman" w:hAnsi="Times New Roman"/>
          <w:color w:val="1F2329"/>
          <w:kern w:val="0"/>
          <w:szCs w:val="24"/>
        </w:rPr>
        <w:t>井水</w:t>
      </w:r>
      <w:r>
        <w:rPr>
          <w:rFonts w:ascii="Times New Roman" w:hAnsi="Times New Roman"/>
        </w:rPr>
        <w:t>放射性核素</w:t>
      </w:r>
      <w:r>
        <w:rPr>
          <w:rFonts w:ascii="Times New Roman" w:hAnsi="Times New Roman"/>
          <w:color w:val="1F2329"/>
          <w:kern w:val="0"/>
          <w:szCs w:val="24"/>
        </w:rPr>
        <w:t>浓度（</w:t>
      </w:r>
      <w:r>
        <w:rPr>
          <w:rFonts w:ascii="Times New Roman" w:hAnsi="Times New Roman"/>
        </w:rPr>
        <w:t>Bq·L</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Q</m:t>
            </m:r>
          </m:e>
          <m:sub>
            <m:r>
              <w:rPr>
                <w:rFonts w:ascii="Cambria Math" w:hAnsi="Cambria Math"/>
              </w:rPr>
              <m:t>W</m:t>
            </m:r>
          </m:sub>
        </m:sSub>
      </m:oMath>
      <w:r>
        <w:rPr>
          <w:rFonts w:ascii="Times New Roman" w:hAnsi="Times New Roman"/>
        </w:rPr>
        <w:t>—</w:t>
      </w:r>
      <w:r>
        <w:rPr>
          <w:rFonts w:ascii="Times New Roman" w:hAnsi="Times New Roman"/>
          <w:color w:val="1F2329"/>
          <w:kern w:val="0"/>
          <w:szCs w:val="24"/>
        </w:rPr>
        <w:t>牛饮水量（</w:t>
      </w:r>
      <w:r>
        <w:rPr>
          <w:rFonts w:ascii="Times New Roman" w:hAnsi="Times New Roman"/>
          <w:color w:val="1F2329"/>
          <w:kern w:val="0"/>
          <w:szCs w:val="24"/>
        </w:rPr>
        <w:t>L</w:t>
      </w:r>
      <w:r>
        <w:rPr>
          <w:rFonts w:ascii="Times New Roman" w:hAnsi="Times New Roman"/>
        </w:rPr>
        <w:t>·d</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CF</m:t>
            </m:r>
          </m:e>
          <m:sub>
            <m:r>
              <w:rPr>
                <w:rFonts w:ascii="Cambria Math" w:hAnsi="Cambria Math"/>
              </w:rPr>
              <m:t>Beef</m:t>
            </m:r>
          </m:sub>
        </m:sSub>
      </m:oMath>
      <w:r>
        <w:rPr>
          <w:rFonts w:ascii="Times New Roman" w:hAnsi="Times New Roman"/>
          <w:color w:val="1F2329"/>
          <w:kern w:val="0"/>
          <w:sz w:val="29"/>
          <w:szCs w:val="29"/>
        </w:rPr>
        <w:t>—</w:t>
      </w:r>
      <w:r>
        <w:rPr>
          <w:rFonts w:ascii="Times New Roman" w:hAnsi="Times New Roman"/>
        </w:rPr>
        <w:t>放射性核素</w:t>
      </w:r>
      <w:r>
        <w:rPr>
          <w:rFonts w:ascii="Times New Roman" w:hAnsi="Times New Roman"/>
          <w:color w:val="1F2329"/>
          <w:kern w:val="0"/>
          <w:szCs w:val="24"/>
        </w:rPr>
        <w:t>在牛肉中的浓度系数（</w:t>
      </w:r>
      <w:r>
        <w:rPr>
          <w:rFonts w:ascii="Times New Roman" w:hAnsi="Times New Roman"/>
          <w:color w:val="1F2329"/>
          <w:kern w:val="0"/>
          <w:szCs w:val="24"/>
        </w:rPr>
        <w:t>d</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w:r>
        <w:rPr>
          <w:rFonts w:ascii="Times New Roman" w:hAnsi="Times New Roman"/>
          <w:color w:val="1F2329"/>
          <w:kern w:val="0"/>
          <w:szCs w:val="24"/>
        </w:rPr>
        <w:t>2</w:t>
      </w:r>
      <w:r>
        <w:rPr>
          <w:rFonts w:ascii="Times New Roman" w:hAnsi="Times New Roman"/>
          <w:color w:val="1F2329"/>
          <w:kern w:val="0"/>
          <w:szCs w:val="24"/>
        </w:rPr>
        <w:t>）要估算</w:t>
      </w:r>
      <w:r>
        <w:rPr>
          <w:rFonts w:ascii="Times New Roman" w:hAnsi="Times New Roman" w:hint="eastAsia"/>
          <w:color w:val="1F2329"/>
          <w:kern w:val="0"/>
          <w:szCs w:val="24"/>
        </w:rPr>
        <w:t>食入</w:t>
      </w:r>
      <w:r>
        <w:rPr>
          <w:rFonts w:ascii="Times New Roman" w:hAnsi="Times New Roman"/>
          <w:color w:val="1F2329"/>
          <w:kern w:val="0"/>
          <w:szCs w:val="24"/>
        </w:rPr>
        <w:t>灌溉土壤种植的饲料后牛肉中的潜在</w:t>
      </w:r>
      <w:r>
        <w:rPr>
          <w:rFonts w:ascii="Times New Roman" w:hAnsi="Times New Roman"/>
          <w:color w:val="1F2329"/>
          <w:kern w:val="0"/>
          <w:szCs w:val="24"/>
        </w:rPr>
        <w:t>放射性核素</w:t>
      </w:r>
      <w:r>
        <w:rPr>
          <w:rFonts w:ascii="Times New Roman" w:hAnsi="Times New Roman"/>
          <w:color w:val="1F2329"/>
          <w:kern w:val="0"/>
          <w:szCs w:val="24"/>
        </w:rPr>
        <w:t>浓度，需先计算饲料本身的</w:t>
      </w:r>
      <w:r>
        <w:rPr>
          <w:rFonts w:ascii="Times New Roman" w:hAnsi="Times New Roman"/>
          <w:color w:val="1F2329"/>
          <w:kern w:val="0"/>
          <w:szCs w:val="24"/>
        </w:rPr>
        <w:t>放射性核素</w:t>
      </w:r>
      <w:r>
        <w:rPr>
          <w:rFonts w:ascii="Times New Roman" w:hAnsi="Times New Roman"/>
          <w:color w:val="1F2329"/>
          <w:kern w:val="0"/>
          <w:szCs w:val="24"/>
        </w:rPr>
        <w:t>浓度。饲料可能通过两种途径受到污染</w:t>
      </w:r>
      <w:r>
        <w:rPr>
          <w:rFonts w:ascii="Times New Roman" w:hAnsi="Times New Roman"/>
          <w:color w:val="1F2329"/>
          <w:kern w:val="0"/>
          <w:szCs w:val="24"/>
        </w:rPr>
        <w:t>，</w:t>
      </w:r>
      <w:r>
        <w:rPr>
          <w:rFonts w:ascii="Times New Roman" w:hAnsi="Times New Roman"/>
          <w:color w:val="1F2329"/>
          <w:kern w:val="0"/>
          <w:szCs w:val="24"/>
        </w:rPr>
        <w:t>包括</w:t>
      </w:r>
      <w:r>
        <w:rPr>
          <w:rFonts w:ascii="Times New Roman" w:hAnsi="Times New Roman"/>
          <w:color w:val="1F2329"/>
          <w:kern w:val="0"/>
          <w:szCs w:val="24"/>
        </w:rPr>
        <w:t>土壤吸收和灌溉水直接沉积，需同时考虑这两种途径。</w:t>
      </w:r>
    </w:p>
    <w:p w:rsidR="003C2CC0" w:rsidRDefault="00D71428">
      <w:pPr>
        <w:ind w:firstLine="480"/>
        <w:rPr>
          <w:rFonts w:ascii="Times New Roman" w:hAnsi="Times New Roman"/>
          <w:color w:val="1F2329"/>
          <w:kern w:val="0"/>
          <w:szCs w:val="24"/>
        </w:rPr>
      </w:pPr>
      <w:r>
        <w:rPr>
          <w:rFonts w:ascii="Times New Roman" w:hAnsi="Times New Roman"/>
          <w:color w:val="1F2329"/>
          <w:kern w:val="0"/>
          <w:szCs w:val="24"/>
        </w:rPr>
        <w:t>饲料从土壤中吸收</w:t>
      </w:r>
      <w:r>
        <w:rPr>
          <w:rFonts w:ascii="Times New Roman" w:hAnsi="Times New Roman"/>
          <w:color w:val="1F2329"/>
          <w:kern w:val="0"/>
          <w:szCs w:val="24"/>
        </w:rPr>
        <w:t>放射性核素</w:t>
      </w:r>
      <w:r>
        <w:rPr>
          <w:rFonts w:ascii="Times New Roman" w:hAnsi="Times New Roman"/>
          <w:color w:val="1F2329"/>
          <w:kern w:val="0"/>
          <w:szCs w:val="24"/>
        </w:rPr>
        <w:t>浓度</w:t>
      </w:r>
    </w:p>
    <w:p w:rsidR="003C2CC0" w:rsidRDefault="00D71428">
      <w:pPr>
        <w:jc w:val="center"/>
        <w:rPr>
          <w:rFonts w:ascii="Times New Roman" w:hAnsi="Times New Roman"/>
          <w:color w:val="1F2329"/>
          <w:kern w:val="0"/>
          <w:szCs w:val="24"/>
        </w:rPr>
      </w:pPr>
      <m:oMathPara>
        <m:oMath>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For</m:t>
              </m:r>
              <m:r>
                <w:rPr>
                  <w:rFonts w:ascii="Cambria Math" w:hAnsi="Cambria Math"/>
                  <w:color w:val="1F2329"/>
                  <w:kern w:val="0"/>
                  <w:szCs w:val="24"/>
                </w:rPr>
                <m:t>-</m:t>
              </m:r>
              <m:r>
                <w:rPr>
                  <w:rFonts w:ascii="Cambria Math" w:hAnsi="Cambria Math"/>
                  <w:color w:val="1F2329"/>
                  <w:kern w:val="0"/>
                  <w:szCs w:val="24"/>
                </w:rPr>
                <m:t>soil</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S</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CF</m:t>
              </m:r>
            </m:e>
            <m:sub>
              <m:r>
                <w:rPr>
                  <w:rFonts w:ascii="Cambria Math" w:hAnsi="Cambria Math"/>
                  <w:color w:val="1F2329"/>
                  <w:kern w:val="0"/>
                  <w:szCs w:val="24"/>
                </w:rPr>
                <m:t>For</m:t>
              </m:r>
            </m:sub>
          </m:sSub>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C</m:t>
            </m:r>
          </m:e>
          <m:sub>
            <m:r>
              <w:rPr>
                <w:rFonts w:ascii="Cambria Math" w:hAnsi="Cambria Math"/>
              </w:rPr>
              <m:t>For</m:t>
            </m:r>
            <m:r>
              <w:rPr>
                <w:rFonts w:ascii="Cambria Math" w:hAnsi="Cambria Math"/>
              </w:rPr>
              <m:t>-</m:t>
            </m:r>
            <m:r>
              <w:rPr>
                <w:rFonts w:ascii="Cambria Math" w:hAnsi="Cambria Math"/>
              </w:rPr>
              <m:t>soil</m:t>
            </m:r>
          </m:sub>
        </m:sSub>
      </m:oMath>
      <w:r>
        <w:rPr>
          <w:rFonts w:ascii="Times New Roman" w:hAnsi="Times New Roman"/>
        </w:rPr>
        <w:t>—</w:t>
      </w:r>
      <w:r>
        <w:rPr>
          <w:rFonts w:ascii="Times New Roman" w:hAnsi="Times New Roman"/>
          <w:color w:val="1F2329"/>
          <w:kern w:val="0"/>
          <w:szCs w:val="24"/>
        </w:rPr>
        <w:t>饲料中</w:t>
      </w:r>
      <w:r>
        <w:rPr>
          <w:rFonts w:ascii="Times New Roman" w:hAnsi="Times New Roman"/>
          <w:color w:val="1F2329"/>
          <w:kern w:val="0"/>
          <w:szCs w:val="24"/>
        </w:rPr>
        <w:t>放射性核素</w:t>
      </w:r>
      <w:r>
        <w:rPr>
          <w:rFonts w:ascii="Times New Roman" w:hAnsi="Times New Roman"/>
          <w:color w:val="1F2329"/>
          <w:kern w:val="0"/>
          <w:szCs w:val="24"/>
        </w:rPr>
        <w:t>浓度（</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m:t>
            </m:r>
          </m:e>
          <m:sub>
            <m:r>
              <w:rPr>
                <w:rFonts w:ascii="Cambria Math" w:hAnsi="Cambria Math"/>
              </w:rPr>
              <m:t>S</m:t>
            </m:r>
          </m:sub>
        </m:sSub>
      </m:oMath>
      <w:r>
        <w:rPr>
          <w:rFonts w:ascii="Times New Roman" w:hAnsi="Times New Roman"/>
        </w:rPr>
        <w:t>—</w:t>
      </w:r>
      <w:r>
        <w:rPr>
          <w:rFonts w:ascii="Times New Roman" w:hAnsi="Times New Roman"/>
          <w:color w:val="1F2329"/>
          <w:kern w:val="0"/>
          <w:szCs w:val="24"/>
        </w:rPr>
        <w:t>土壤中累积</w:t>
      </w:r>
      <w:r>
        <w:rPr>
          <w:rFonts w:ascii="Times New Roman" w:hAnsi="Times New Roman"/>
          <w:color w:val="1F2329"/>
          <w:kern w:val="0"/>
          <w:szCs w:val="24"/>
        </w:rPr>
        <w:t>放射性核素</w:t>
      </w:r>
      <w:r>
        <w:rPr>
          <w:rFonts w:ascii="Times New Roman" w:hAnsi="Times New Roman"/>
          <w:color w:val="1F2329"/>
          <w:kern w:val="0"/>
          <w:szCs w:val="24"/>
        </w:rPr>
        <w:t>浓度（</w:t>
      </w:r>
      <w:r>
        <w:rPr>
          <w:rFonts w:ascii="Times New Roman" w:hAnsi="Times New Roman"/>
          <w:color w:val="1F2329"/>
          <w:kern w:val="0"/>
          <w:szCs w:val="24"/>
        </w:rPr>
        <w:t>Bq·g</w:t>
      </w:r>
      <w:r>
        <w:rPr>
          <w:rFonts w:ascii="Times New Roman" w:hAnsi="Times New Roman"/>
          <w:color w:val="1F2329"/>
          <w:kern w:val="0"/>
          <w:szCs w:val="24"/>
          <w:vertAlign w:val="superscript"/>
        </w:rPr>
        <w:t>-1</w:t>
      </w:r>
      <w:r>
        <w:rPr>
          <w:rFonts w:ascii="Times New Roman" w:hAnsi="Times New Roman"/>
          <w:color w:val="1F2329"/>
          <w:kern w:val="0"/>
          <w:szCs w:val="24"/>
        </w:rPr>
        <w:t>）</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m:oMath>
        <m:sSub>
          <m:sSubPr>
            <m:ctrlPr>
              <w:rPr>
                <w:rFonts w:ascii="Cambria Math" w:hAnsi="Cambria Math"/>
                <w:i/>
                <w:color w:val="1F2329"/>
                <w:kern w:val="0"/>
                <w:szCs w:val="24"/>
              </w:rPr>
            </m:ctrlPr>
          </m:sSubPr>
          <m:e>
            <m:r>
              <w:rPr>
                <w:rFonts w:ascii="Cambria Math" w:hAnsi="Cambria Math"/>
                <w:color w:val="1F2329"/>
                <w:kern w:val="0"/>
                <w:szCs w:val="24"/>
              </w:rPr>
              <m:t>CF</m:t>
            </m:r>
          </m:e>
          <m:sub>
            <m:r>
              <w:rPr>
                <w:rFonts w:ascii="Cambria Math" w:hAnsi="Cambria Math"/>
                <w:color w:val="1F2329"/>
                <w:kern w:val="0"/>
                <w:szCs w:val="24"/>
              </w:rPr>
              <m:t>For</m:t>
            </m:r>
          </m:sub>
        </m:sSub>
      </m:oMath>
      <w:r>
        <w:rPr>
          <w:rFonts w:ascii="Times New Roman" w:hAnsi="Times New Roman"/>
          <w:color w:val="1F2329"/>
          <w:kern w:val="0"/>
          <w:szCs w:val="24"/>
        </w:rPr>
        <w:t>—</w:t>
      </w:r>
      <w:r>
        <w:rPr>
          <w:rFonts w:ascii="Times New Roman" w:hAnsi="Times New Roman"/>
        </w:rPr>
        <w:t>放射性核素</w:t>
      </w:r>
      <w:r>
        <w:rPr>
          <w:rFonts w:ascii="Times New Roman" w:hAnsi="Times New Roman"/>
          <w:color w:val="1F2329"/>
          <w:kern w:val="0"/>
          <w:szCs w:val="24"/>
        </w:rPr>
        <w:t>在饲料</w:t>
      </w:r>
      <w:r>
        <w:rPr>
          <w:rFonts w:ascii="Times New Roman" w:hAnsi="Times New Roman" w:hint="eastAsia"/>
          <w:color w:val="1F2329"/>
          <w:kern w:val="0"/>
          <w:szCs w:val="24"/>
        </w:rPr>
        <w:t>中的</w:t>
      </w:r>
      <w:r>
        <w:rPr>
          <w:rFonts w:ascii="Times New Roman" w:hAnsi="Times New Roman"/>
          <w:color w:val="1F2329"/>
          <w:kern w:val="0"/>
          <w:szCs w:val="24"/>
        </w:rPr>
        <w:t>浓度系数（</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植株</w:t>
      </w:r>
      <w:r>
        <w:rPr>
          <w:rFonts w:ascii="Times New Roman" w:eastAsia="微软雅黑" w:hAnsi="Times New Roman"/>
          <w:color w:val="1F2329"/>
          <w:kern w:val="0"/>
          <w:szCs w:val="24"/>
        </w:rPr>
        <w:t>/</w:t>
      </w:r>
      <w:r>
        <w:rPr>
          <w:rFonts w:ascii="Times New Roman" w:hAnsi="Times New Roman"/>
          <w:color w:val="1F2329"/>
          <w:kern w:val="0"/>
          <w:szCs w:val="24"/>
        </w:rPr>
        <w:t xml:space="preserve"> 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土壤）。</w:t>
      </w:r>
    </w:p>
    <w:p w:rsidR="003C2CC0" w:rsidRDefault="00D71428">
      <w:pPr>
        <w:ind w:firstLine="480"/>
        <w:rPr>
          <w:rFonts w:ascii="Times New Roman" w:hAnsi="Times New Roman"/>
          <w:color w:val="1F2329"/>
          <w:kern w:val="0"/>
          <w:szCs w:val="24"/>
        </w:rPr>
      </w:pPr>
      <w:r>
        <w:rPr>
          <w:rFonts w:ascii="Times New Roman" w:hAnsi="Times New Roman"/>
          <w:color w:val="1F2329"/>
          <w:kern w:val="0"/>
          <w:szCs w:val="24"/>
        </w:rPr>
        <w:t>灌溉水直接沉积在植物表面导致的饲料</w:t>
      </w:r>
      <w:r>
        <w:rPr>
          <w:rFonts w:ascii="Times New Roman" w:hAnsi="Times New Roman"/>
          <w:color w:val="1F2329"/>
          <w:kern w:val="0"/>
          <w:szCs w:val="24"/>
        </w:rPr>
        <w:t>放射性核素</w:t>
      </w:r>
      <w:r>
        <w:rPr>
          <w:rFonts w:ascii="Times New Roman" w:hAnsi="Times New Roman"/>
          <w:color w:val="1F2329"/>
          <w:kern w:val="0"/>
          <w:szCs w:val="24"/>
        </w:rPr>
        <w:t>浓度</w:t>
      </w:r>
    </w:p>
    <w:p w:rsidR="003C2CC0" w:rsidRDefault="00D71428">
      <w:pPr>
        <w:spacing w:line="360" w:lineRule="auto"/>
        <w:ind w:firstLine="480"/>
        <w:jc w:val="center"/>
        <w:rPr>
          <w:rFonts w:ascii="Times New Roman" w:hAnsi="Times New Roman"/>
          <w:color w:val="1F2329"/>
          <w:kern w:val="0"/>
          <w:szCs w:val="24"/>
        </w:rPr>
      </w:pPr>
      <m:oMathPara>
        <m:oMath>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For</m:t>
              </m:r>
              <m:r>
                <w:rPr>
                  <w:rFonts w:ascii="Cambria Math" w:hAnsi="Cambria Math"/>
                  <w:color w:val="1F2329"/>
                  <w:kern w:val="0"/>
                  <w:szCs w:val="24"/>
                </w:rPr>
                <m:t>-</m:t>
              </m:r>
              <m:r>
                <w:rPr>
                  <w:rFonts w:ascii="Cambria Math" w:hAnsi="Cambria Math"/>
                  <w:color w:val="1F2329"/>
                  <w:kern w:val="0"/>
                  <w:szCs w:val="24"/>
                </w:rPr>
                <m:t>irr</m:t>
              </m:r>
            </m:sub>
          </m:sSub>
          <m:r>
            <w:rPr>
              <w:rFonts w:ascii="Cambria Math" w:hAnsi="Cambria Math"/>
              <w:color w:val="1F2329"/>
              <w:kern w:val="0"/>
              <w:szCs w:val="24"/>
            </w:rPr>
            <m:t>=</m:t>
          </m:r>
          <m:f>
            <m:fPr>
              <m:ctrlPr>
                <w:rPr>
                  <w:rFonts w:ascii="Cambria Math" w:hAnsi="Cambria Math"/>
                  <w:i/>
                  <w:color w:val="1F2329"/>
                  <w:kern w:val="0"/>
                  <w:szCs w:val="24"/>
                </w:rPr>
              </m:ctrlPr>
            </m:fPr>
            <m:num>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G</m:t>
                  </m:r>
                  <m:r>
                    <w:rPr>
                      <w:rFonts w:ascii="Cambria Math" w:hAnsi="Cambria Math"/>
                      <w:color w:val="1F2329"/>
                      <w:kern w:val="0"/>
                      <w:szCs w:val="24"/>
                    </w:rPr>
                    <m:t>w</m:t>
                  </m:r>
                </m:sub>
              </m:sSub>
              <m:r>
                <w:rPr>
                  <w:rFonts w:ascii="Cambria Math" w:hAnsi="Cambria Math"/>
                  <w:color w:val="1F2329"/>
                  <w:kern w:val="0"/>
                  <w:szCs w:val="24"/>
                </w:rPr>
                <m:t>*</m:t>
              </m:r>
              <m:r>
                <w:rPr>
                  <w:rFonts w:ascii="Cambria Math" w:hAnsi="Cambria Math"/>
                  <w:color w:val="1F2329"/>
                  <w:kern w:val="0"/>
                  <w:szCs w:val="24"/>
                </w:rPr>
                <m:t>IR</m:t>
              </m:r>
              <m:r>
                <w:rPr>
                  <w:rFonts w:ascii="Cambria Math" w:hAnsi="Cambria Math"/>
                  <w:color w:val="1F2329"/>
                  <w:kern w:val="0"/>
                  <w:szCs w:val="24"/>
                </w:rPr>
                <m:t>*</m:t>
              </m:r>
              <m:r>
                <w:rPr>
                  <w:rFonts w:ascii="Cambria Math" w:hAnsi="Cambria Math"/>
                  <w:color w:val="1F2329"/>
                  <w:kern w:val="0"/>
                  <w:szCs w:val="24"/>
                </w:rPr>
                <m:t>IP</m:t>
              </m:r>
              <m:r>
                <w:rPr>
                  <w:rFonts w:ascii="Cambria Math" w:hAnsi="Cambria Math"/>
                  <w:color w:val="1F2329"/>
                  <w:kern w:val="0"/>
                  <w:szCs w:val="24"/>
                </w:rPr>
                <m:t>*</m:t>
              </m:r>
              <m:r>
                <w:rPr>
                  <w:rFonts w:ascii="Cambria Math" w:hAnsi="Cambria Math"/>
                  <w:color w:val="1F2329"/>
                  <w:kern w:val="0"/>
                  <w:szCs w:val="24"/>
                </w:rPr>
                <m:t>f</m:t>
              </m:r>
            </m:num>
            <m:den>
              <m:r>
                <w:rPr>
                  <w:rFonts w:ascii="Cambria Math" w:hAnsi="Cambria Math"/>
                  <w:color w:val="1F2329"/>
                  <w:kern w:val="0"/>
                  <w:szCs w:val="24"/>
                </w:rPr>
                <m:t>Y</m:t>
              </m:r>
            </m:den>
          </m:f>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C</m:t>
            </m:r>
          </m:e>
          <m:sub>
            <m:r>
              <w:rPr>
                <w:rFonts w:ascii="Cambria Math" w:hAnsi="Cambria Math"/>
              </w:rPr>
              <m:t>For</m:t>
            </m:r>
            <m:r>
              <w:rPr>
                <w:rFonts w:ascii="Cambria Math" w:hAnsi="Cambria Math"/>
              </w:rPr>
              <m:t>-</m:t>
            </m:r>
            <m:r>
              <w:rPr>
                <w:rFonts w:ascii="Cambria Math" w:hAnsi="Cambria Math"/>
              </w:rPr>
              <m:t>irr</m:t>
            </m:r>
          </m:sub>
        </m:sSub>
      </m:oMath>
      <w:r>
        <w:rPr>
          <w:rFonts w:ascii="Times New Roman" w:hAnsi="Times New Roman"/>
        </w:rPr>
        <w:t>—</w:t>
      </w:r>
      <w:r>
        <w:rPr>
          <w:rFonts w:ascii="Times New Roman" w:hAnsi="Times New Roman"/>
        </w:rPr>
        <w:t>灌溉直接沉积导致的饲料</w:t>
      </w:r>
      <w:r>
        <w:rPr>
          <w:rFonts w:ascii="Times New Roman" w:hAnsi="Times New Roman"/>
          <w:color w:val="1F2329"/>
          <w:kern w:val="0"/>
          <w:szCs w:val="24"/>
        </w:rPr>
        <w:t>放射性核素</w:t>
      </w:r>
      <w:r>
        <w:rPr>
          <w:rFonts w:ascii="Times New Roman" w:hAnsi="Times New Roman"/>
        </w:rPr>
        <w:t>浓度（</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color w:val="1F2329"/>
          <w:kern w:val="0"/>
          <w:szCs w:val="24"/>
        </w:rPr>
      </w:pPr>
      <m:oMath>
        <m:sSub>
          <m:sSubPr>
            <m:ctrlPr>
              <w:rPr>
                <w:rFonts w:ascii="Cambria Math" w:hAnsi="Cambria Math"/>
                <w:i/>
              </w:rPr>
            </m:ctrlPr>
          </m:sSubPr>
          <m:e>
            <m:r>
              <w:rPr>
                <w:rFonts w:ascii="Cambria Math" w:hAnsi="Cambria Math"/>
              </w:rPr>
              <m:t>C</m:t>
            </m:r>
          </m:e>
          <m:sub>
            <m:r>
              <w:rPr>
                <w:rFonts w:ascii="Cambria Math" w:hAnsi="Cambria Math"/>
              </w:rPr>
              <m:t>G</m:t>
            </m:r>
            <m:r>
              <w:rPr>
                <w:rFonts w:ascii="Cambria Math" w:hAnsi="Cambria Math"/>
              </w:rPr>
              <m:t>w</m:t>
            </m:r>
          </m:sub>
        </m:sSub>
      </m:oMath>
      <w:r>
        <w:rPr>
          <w:rFonts w:ascii="Times New Roman" w:hAnsi="Times New Roman"/>
        </w:rPr>
        <w:t>—</w:t>
      </w:r>
      <w:r>
        <w:rPr>
          <w:rFonts w:ascii="Times New Roman" w:hAnsi="Times New Roman"/>
          <w:color w:val="1F2329"/>
          <w:kern w:val="0"/>
          <w:szCs w:val="24"/>
        </w:rPr>
        <w:t>井水</w:t>
      </w:r>
      <w:r>
        <w:rPr>
          <w:rFonts w:ascii="Times New Roman" w:hAnsi="Times New Roman"/>
        </w:rPr>
        <w:t>放射性核素</w:t>
      </w:r>
      <w:r>
        <w:rPr>
          <w:rFonts w:ascii="Times New Roman" w:hAnsi="Times New Roman"/>
          <w:color w:val="1F2329"/>
          <w:kern w:val="0"/>
          <w:szCs w:val="24"/>
        </w:rPr>
        <w:t>浓度（</w:t>
      </w:r>
      <w:r>
        <w:rPr>
          <w:rFonts w:ascii="Times New Roman" w:hAnsi="Times New Roman"/>
        </w:rPr>
        <w:t>Bq·L</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Chars="200" w:firstLine="420"/>
        <w:rPr>
          <w:rFonts w:ascii="Times New Roman" w:hAnsi="Times New Roman"/>
          <w:color w:val="1F2329"/>
          <w:kern w:val="0"/>
          <w:szCs w:val="24"/>
        </w:rPr>
      </w:pPr>
      <w:r>
        <w:rPr>
          <w:rFonts w:ascii="Times New Roman" w:hAnsi="Times New Roman"/>
          <w:i/>
          <w:iCs/>
          <w:color w:val="1F2329"/>
          <w:kern w:val="0"/>
          <w:szCs w:val="24"/>
        </w:rPr>
        <w:t>IR</w:t>
      </w:r>
      <w:r>
        <w:rPr>
          <w:rFonts w:ascii="Times New Roman" w:hAnsi="Times New Roman"/>
          <w:color w:val="1F2329"/>
          <w:kern w:val="0"/>
          <w:szCs w:val="24"/>
        </w:rPr>
        <w:t>—</w:t>
      </w:r>
      <w:r>
        <w:rPr>
          <w:rFonts w:ascii="Times New Roman" w:hAnsi="Times New Roman"/>
          <w:color w:val="1F2329"/>
          <w:kern w:val="0"/>
          <w:szCs w:val="24"/>
        </w:rPr>
        <w:t>灌溉速率（</w:t>
      </w:r>
      <w:r>
        <w:rPr>
          <w:rFonts w:ascii="Times New Roman" w:hAnsi="Times New Roman"/>
          <w:szCs w:val="24"/>
        </w:rPr>
        <w:t>Lm</w:t>
      </w:r>
      <w:r>
        <w:rPr>
          <w:rFonts w:ascii="Times New Roman" w:hAnsi="Times New Roman"/>
          <w:szCs w:val="24"/>
          <w:vertAlign w:val="superscript"/>
        </w:rPr>
        <w:t>-2</w:t>
      </w:r>
      <w:r>
        <w:rPr>
          <w:rFonts w:ascii="Times New Roman" w:hAnsi="Times New Roman"/>
          <w:szCs w:val="24"/>
        </w:rPr>
        <w:t>d</w:t>
      </w:r>
      <w:r>
        <w:rPr>
          <w:rFonts w:ascii="Times New Roman" w:hAnsi="Times New Roman"/>
          <w:szCs w:val="24"/>
          <w:vertAlign w:val="superscript"/>
        </w:rPr>
        <w:t>-1</w:t>
      </w:r>
      <w:r>
        <w:rPr>
          <w:rFonts w:ascii="Times New Roman" w:hAnsi="Times New Roman"/>
          <w:color w:val="1F2329"/>
          <w:kern w:val="0"/>
          <w:szCs w:val="24"/>
        </w:rPr>
        <w:t>）；</w:t>
      </w:r>
    </w:p>
    <w:p w:rsidR="003C2CC0" w:rsidRDefault="00D71428">
      <w:pPr>
        <w:ind w:firstLineChars="200" w:firstLine="420"/>
        <w:rPr>
          <w:rFonts w:ascii="Times New Roman" w:hAnsi="Times New Roman"/>
          <w:color w:val="1F2329"/>
          <w:kern w:val="0"/>
          <w:szCs w:val="24"/>
        </w:rPr>
      </w:pPr>
      <w:r>
        <w:rPr>
          <w:rFonts w:ascii="Times New Roman" w:hAnsi="Times New Roman"/>
          <w:i/>
          <w:iCs/>
          <w:color w:val="1F2329"/>
          <w:kern w:val="0"/>
          <w:szCs w:val="24"/>
        </w:rPr>
        <w:t>IP</w:t>
      </w:r>
      <w:r>
        <w:rPr>
          <w:rFonts w:ascii="Times New Roman" w:hAnsi="Times New Roman"/>
          <w:color w:val="1F2329"/>
          <w:kern w:val="0"/>
          <w:szCs w:val="24"/>
        </w:rPr>
        <w:t>—</w:t>
      </w:r>
      <w:r>
        <w:rPr>
          <w:rFonts w:ascii="Times New Roman" w:hAnsi="Times New Roman"/>
          <w:color w:val="1F2329"/>
          <w:kern w:val="0"/>
          <w:szCs w:val="24"/>
        </w:rPr>
        <w:t>灌溉周期（</w:t>
      </w:r>
      <w:r>
        <w:rPr>
          <w:rFonts w:ascii="Times New Roman" w:hAnsi="Times New Roman"/>
          <w:color w:val="1F2329"/>
          <w:kern w:val="0"/>
          <w:szCs w:val="24"/>
        </w:rPr>
        <w:t>1d</w:t>
      </w:r>
      <w:r>
        <w:rPr>
          <w:rFonts w:ascii="Times New Roman" w:hAnsi="Times New Roman"/>
          <w:color w:val="1F2329"/>
          <w:kern w:val="0"/>
          <w:szCs w:val="24"/>
        </w:rPr>
        <w:t>）；</w:t>
      </w:r>
    </w:p>
    <w:p w:rsidR="003C2CC0" w:rsidRDefault="00D71428">
      <w:pPr>
        <w:ind w:firstLineChars="200" w:firstLine="420"/>
        <w:rPr>
          <w:rFonts w:ascii="Times New Roman" w:hAnsi="Times New Roman"/>
          <w:color w:val="1F2329"/>
          <w:kern w:val="0"/>
          <w:szCs w:val="24"/>
        </w:rPr>
      </w:pPr>
      <w:r>
        <w:rPr>
          <w:rFonts w:ascii="Times New Roman" w:hAnsi="Times New Roman"/>
          <w:i/>
          <w:iCs/>
          <w:color w:val="1F2329"/>
          <w:kern w:val="0"/>
          <w:szCs w:val="24"/>
        </w:rPr>
        <w:t>f</w:t>
      </w:r>
      <w:r>
        <w:rPr>
          <w:rFonts w:ascii="Times New Roman" w:hAnsi="Times New Roman"/>
          <w:color w:val="1F2329"/>
          <w:kern w:val="0"/>
          <w:szCs w:val="24"/>
        </w:rPr>
        <w:t>—</w:t>
      </w:r>
      <w:r>
        <w:rPr>
          <w:rFonts w:ascii="Times New Roman" w:hAnsi="Times New Roman"/>
          <w:color w:val="1F2329"/>
          <w:kern w:val="0"/>
          <w:szCs w:val="24"/>
        </w:rPr>
        <w:t>拦截率（无量纲）；</w:t>
      </w:r>
    </w:p>
    <w:p w:rsidR="003C2CC0" w:rsidRDefault="00D71428">
      <w:pPr>
        <w:ind w:firstLineChars="200" w:firstLine="420"/>
        <w:rPr>
          <w:rFonts w:ascii="Times New Roman" w:hAnsi="Times New Roman"/>
          <w:color w:val="1F2329"/>
          <w:kern w:val="0"/>
          <w:szCs w:val="24"/>
        </w:rPr>
      </w:pPr>
      <w:r>
        <w:rPr>
          <w:rFonts w:ascii="Times New Roman" w:hAnsi="Times New Roman"/>
          <w:i/>
          <w:iCs/>
          <w:color w:val="1F2329"/>
          <w:kern w:val="0"/>
          <w:szCs w:val="24"/>
        </w:rPr>
        <w:t>Y</w:t>
      </w:r>
      <w:r>
        <w:rPr>
          <w:rFonts w:ascii="Times New Roman" w:hAnsi="Times New Roman"/>
          <w:color w:val="1F2329"/>
          <w:kern w:val="0"/>
          <w:szCs w:val="24"/>
        </w:rPr>
        <w:t>—</w:t>
      </w:r>
      <w:r>
        <w:rPr>
          <w:rFonts w:ascii="Times New Roman" w:hAnsi="Times New Roman"/>
          <w:color w:val="1F2329"/>
          <w:kern w:val="0"/>
          <w:szCs w:val="24"/>
        </w:rPr>
        <w:t>农作物产量（</w:t>
      </w:r>
      <w:r>
        <w:rPr>
          <w:rFonts w:ascii="Times New Roman" w:hAnsi="Times New Roman"/>
          <w:color w:val="1F2329"/>
          <w:kern w:val="0"/>
          <w:szCs w:val="24"/>
        </w:rPr>
        <w:t>t/</w:t>
      </w:r>
      <w:r>
        <w:rPr>
          <w:rFonts w:ascii="Times New Roman" w:hAnsi="Times New Roman"/>
          <w:color w:val="1F2329"/>
          <w:kern w:val="0"/>
          <w:szCs w:val="24"/>
        </w:rPr>
        <w:t>亩）</w:t>
      </w:r>
      <w:r>
        <w:rPr>
          <w:rFonts w:ascii="Times New Roman" w:hAnsi="Times New Roman"/>
          <w:color w:val="1F2329"/>
          <w:kern w:val="0"/>
          <w:szCs w:val="24"/>
        </w:rPr>
        <w:t>。</w:t>
      </w:r>
    </w:p>
    <w:p w:rsidR="003C2CC0" w:rsidRDefault="00D71428">
      <w:pPr>
        <w:ind w:firstLine="480"/>
        <w:rPr>
          <w:rFonts w:ascii="Times New Roman" w:hAnsi="Times New Roman"/>
          <w:color w:val="1F2329"/>
          <w:kern w:val="0"/>
          <w:szCs w:val="24"/>
        </w:rPr>
      </w:pPr>
      <w:r>
        <w:rPr>
          <w:rFonts w:ascii="Times New Roman" w:hAnsi="Times New Roman"/>
          <w:color w:val="1F2329"/>
          <w:kern w:val="0"/>
          <w:szCs w:val="24"/>
        </w:rPr>
        <w:t>饲料中</w:t>
      </w:r>
      <w:r>
        <w:rPr>
          <w:rFonts w:ascii="Times New Roman" w:hAnsi="Times New Roman"/>
          <w:color w:val="1F2329"/>
          <w:kern w:val="0"/>
          <w:szCs w:val="24"/>
        </w:rPr>
        <w:t>放射性核素</w:t>
      </w:r>
      <w:r>
        <w:rPr>
          <w:rFonts w:ascii="Times New Roman" w:hAnsi="Times New Roman"/>
          <w:color w:val="1F2329"/>
          <w:kern w:val="0"/>
          <w:szCs w:val="24"/>
        </w:rPr>
        <w:t>的总浓度为土壤吸收和直接沉积两种途径的总和。</w:t>
      </w:r>
    </w:p>
    <w:p w:rsidR="003C2CC0" w:rsidRDefault="00D71428">
      <w:pPr>
        <w:ind w:firstLine="480"/>
        <w:rPr>
          <w:rFonts w:ascii="Times New Roman" w:hAnsi="Times New Roman"/>
          <w:color w:val="1F2329"/>
          <w:kern w:val="0"/>
          <w:szCs w:val="24"/>
        </w:rPr>
      </w:pPr>
      <w:r>
        <w:rPr>
          <w:rFonts w:ascii="Times New Roman" w:hAnsi="Times New Roman"/>
          <w:color w:val="1F2329"/>
          <w:kern w:val="0"/>
          <w:szCs w:val="24"/>
        </w:rPr>
        <w:t>假设全年持续</w:t>
      </w:r>
      <w:r>
        <w:rPr>
          <w:rFonts w:ascii="Times New Roman" w:hAnsi="Times New Roman" w:hint="eastAsia"/>
          <w:color w:val="1F2329"/>
          <w:kern w:val="0"/>
          <w:szCs w:val="24"/>
        </w:rPr>
        <w:t>食入</w:t>
      </w:r>
      <w:r>
        <w:rPr>
          <w:rFonts w:ascii="Times New Roman" w:hAnsi="Times New Roman"/>
          <w:color w:val="1F2329"/>
          <w:kern w:val="0"/>
          <w:szCs w:val="24"/>
        </w:rPr>
        <w:t>灌溉饲料，</w:t>
      </w:r>
      <w:r>
        <w:rPr>
          <w:rFonts w:ascii="Times New Roman" w:hAnsi="Times New Roman" w:hint="eastAsia"/>
          <w:color w:val="1F2329"/>
          <w:kern w:val="0"/>
          <w:szCs w:val="24"/>
        </w:rPr>
        <w:t>食入</w:t>
      </w:r>
      <w:r>
        <w:rPr>
          <w:rFonts w:ascii="Times New Roman" w:hAnsi="Times New Roman"/>
          <w:color w:val="1F2329"/>
          <w:kern w:val="0"/>
          <w:szCs w:val="24"/>
        </w:rPr>
        <w:t>饲料导致的牛肉</w:t>
      </w:r>
      <w:r>
        <w:rPr>
          <w:rFonts w:ascii="Times New Roman" w:hAnsi="Times New Roman"/>
          <w:color w:val="1F2329"/>
          <w:kern w:val="0"/>
          <w:szCs w:val="24"/>
        </w:rPr>
        <w:t>放射性核素</w:t>
      </w:r>
      <w:r>
        <w:rPr>
          <w:rFonts w:ascii="Times New Roman" w:hAnsi="Times New Roman"/>
          <w:color w:val="1F2329"/>
          <w:kern w:val="0"/>
          <w:szCs w:val="24"/>
        </w:rPr>
        <w:t>浓度</w:t>
      </w:r>
    </w:p>
    <w:p w:rsidR="003C2CC0" w:rsidRDefault="00D71428">
      <w:pPr>
        <w:jc w:val="center"/>
        <w:rPr>
          <w:rFonts w:ascii="Times New Roman" w:hAnsi="Times New Roman"/>
          <w:color w:val="1F2329"/>
          <w:kern w:val="0"/>
          <w:szCs w:val="24"/>
        </w:rPr>
      </w:pPr>
      <m:oMathPara>
        <m:oMath>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Beef</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m:t>
              </m:r>
            </m:e>
            <m:sub>
              <m:r>
                <w:rPr>
                  <w:rFonts w:ascii="Cambria Math" w:hAnsi="Cambria Math"/>
                  <w:color w:val="1F2329"/>
                  <w:kern w:val="0"/>
                  <w:szCs w:val="24"/>
                </w:rPr>
                <m:t>For</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Q</m:t>
              </m:r>
            </m:e>
            <m:sub>
              <m:r>
                <w:rPr>
                  <w:rFonts w:ascii="Cambria Math" w:hAnsi="Cambria Math"/>
                  <w:color w:val="1F2329"/>
                  <w:kern w:val="0"/>
                  <w:szCs w:val="24"/>
                </w:rPr>
                <m:t>For</m:t>
              </m:r>
            </m:sub>
          </m:sSub>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CF</m:t>
              </m:r>
            </m:e>
            <m:sub>
              <m:r>
                <w:rPr>
                  <w:rFonts w:ascii="Cambria Math" w:hAnsi="Cambria Math"/>
                  <w:color w:val="1F2329"/>
                  <w:kern w:val="0"/>
                  <w:szCs w:val="24"/>
                </w:rPr>
                <m:t>Beef</m:t>
              </m:r>
            </m:sub>
          </m:sSub>
        </m:oMath>
      </m:oMathPara>
    </w:p>
    <w:p w:rsidR="003C2CC0" w:rsidRDefault="00D71428">
      <w:pPr>
        <w:ind w:firstLine="480"/>
        <w:rPr>
          <w:rFonts w:ascii="Times New Roman" w:hAnsi="Times New Roman"/>
          <w:color w:val="1F2329"/>
          <w:kern w:val="0"/>
          <w:szCs w:val="24"/>
        </w:rPr>
      </w:pPr>
      <w:r>
        <w:rPr>
          <w:rFonts w:ascii="Times New Roman" w:hAnsi="Times New Roman"/>
          <w:kern w:val="0"/>
        </w:rPr>
        <w:t>式中：</w:t>
      </w:r>
    </w:p>
    <w:p w:rsidR="003C2CC0" w:rsidRDefault="00D71428">
      <w:pPr>
        <w:ind w:firstLine="580"/>
        <w:rPr>
          <w:rFonts w:ascii="Times New Roman" w:hAnsi="Times New Roman"/>
          <w:color w:val="1F2329"/>
          <w:kern w:val="0"/>
          <w:szCs w:val="24"/>
        </w:rPr>
      </w:pPr>
      <m:oMath>
        <m:sSub>
          <m:sSubPr>
            <m:ctrlPr>
              <w:rPr>
                <w:rFonts w:ascii="Cambria Math" w:hAnsi="Cambria Math"/>
                <w:i/>
                <w:color w:val="1F2329"/>
                <w:kern w:val="0"/>
              </w:rPr>
            </m:ctrlPr>
          </m:sSubPr>
          <m:e>
            <m:r>
              <w:rPr>
                <w:rFonts w:ascii="Cambria Math" w:hAnsi="Cambria Math"/>
                <w:color w:val="1F2329"/>
                <w:kern w:val="0"/>
              </w:rPr>
              <m:t>C</m:t>
            </m:r>
          </m:e>
          <m:sub>
            <m:r>
              <w:rPr>
                <w:rFonts w:ascii="Cambria Math" w:hAnsi="Cambria Math"/>
                <w:color w:val="1F2329"/>
                <w:kern w:val="0"/>
              </w:rPr>
              <m:t>Beef</m:t>
            </m:r>
          </m:sub>
        </m:sSub>
      </m:oMath>
      <w:r>
        <w:rPr>
          <w:rFonts w:ascii="Times New Roman" w:hAnsi="Times New Roman"/>
          <w:color w:val="1F2329"/>
          <w:kern w:val="0"/>
          <w:sz w:val="29"/>
          <w:szCs w:val="29"/>
        </w:rPr>
        <w:t>—</w:t>
      </w:r>
      <w:r>
        <w:rPr>
          <w:rFonts w:ascii="Times New Roman" w:hAnsi="Times New Roman"/>
          <w:color w:val="1F2329"/>
          <w:kern w:val="0"/>
          <w:szCs w:val="24"/>
        </w:rPr>
        <w:t>牛肉中放射性核素浓度（</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580"/>
        <w:rPr>
          <w:rFonts w:ascii="Times New Roman" w:hAnsi="Times New Roman"/>
          <w:color w:val="1F2329"/>
          <w:kern w:val="0"/>
          <w:szCs w:val="24"/>
        </w:rPr>
      </w:pPr>
      <m:oMath>
        <m:sSub>
          <m:sSubPr>
            <m:ctrlPr>
              <w:rPr>
                <w:rFonts w:ascii="Cambria Math" w:hAnsi="Cambria Math"/>
                <w:i/>
                <w:color w:val="1F2329"/>
                <w:kern w:val="0"/>
              </w:rPr>
            </m:ctrlPr>
          </m:sSubPr>
          <m:e>
            <m:r>
              <w:rPr>
                <w:rFonts w:ascii="Cambria Math" w:hAnsi="Cambria Math"/>
                <w:color w:val="1F2329"/>
                <w:kern w:val="0"/>
              </w:rPr>
              <m:t>C</m:t>
            </m:r>
          </m:e>
          <m:sub>
            <m:r>
              <w:rPr>
                <w:rFonts w:ascii="Cambria Math" w:hAnsi="Cambria Math"/>
                <w:color w:val="1F2329"/>
                <w:kern w:val="0"/>
              </w:rPr>
              <m:t>For</m:t>
            </m:r>
          </m:sub>
        </m:sSub>
      </m:oMath>
      <w:r>
        <w:rPr>
          <w:rFonts w:ascii="Times New Roman" w:hAnsi="Times New Roman"/>
          <w:color w:val="1F2329"/>
          <w:kern w:val="0"/>
          <w:szCs w:val="24"/>
        </w:rPr>
        <w:t>—</w:t>
      </w:r>
      <w:r>
        <w:rPr>
          <w:rFonts w:ascii="Times New Roman" w:hAnsi="Times New Roman"/>
          <w:color w:val="1F2329"/>
          <w:kern w:val="0"/>
          <w:szCs w:val="24"/>
        </w:rPr>
        <w:t>饲料中放射性核素浓度（</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580"/>
        <w:rPr>
          <w:rFonts w:ascii="Times New Roman" w:hAnsi="Times New Roman"/>
          <w:color w:val="1F2329"/>
          <w:kern w:val="0"/>
          <w:szCs w:val="24"/>
        </w:rPr>
      </w:pPr>
      <m:oMath>
        <m:sSub>
          <m:sSubPr>
            <m:ctrlPr>
              <w:rPr>
                <w:rFonts w:ascii="Cambria Math" w:hAnsi="Cambria Math"/>
                <w:i/>
                <w:color w:val="1F2329"/>
                <w:kern w:val="0"/>
              </w:rPr>
            </m:ctrlPr>
          </m:sSubPr>
          <m:e>
            <m:r>
              <w:rPr>
                <w:rFonts w:ascii="Cambria Math" w:hAnsi="Cambria Math"/>
                <w:color w:val="1F2329"/>
                <w:kern w:val="0"/>
              </w:rPr>
              <m:t>Q</m:t>
            </m:r>
          </m:e>
          <m:sub>
            <m:r>
              <w:rPr>
                <w:rFonts w:ascii="Cambria Math" w:hAnsi="Cambria Math"/>
                <w:color w:val="1F2329"/>
                <w:kern w:val="0"/>
              </w:rPr>
              <m:t>For</m:t>
            </m:r>
          </m:sub>
        </m:sSub>
      </m:oMath>
      <w:r>
        <w:rPr>
          <w:rFonts w:ascii="Times New Roman" w:hAnsi="Times New Roman"/>
          <w:color w:val="1F2329"/>
          <w:kern w:val="0"/>
          <w:szCs w:val="24"/>
        </w:rPr>
        <w:t>—</w:t>
      </w:r>
      <w:r>
        <w:rPr>
          <w:rFonts w:ascii="Times New Roman" w:hAnsi="Times New Roman"/>
          <w:color w:val="1F2329"/>
          <w:kern w:val="0"/>
          <w:szCs w:val="24"/>
        </w:rPr>
        <w:t>牛饲料摄入量（</w:t>
      </w:r>
      <w:r>
        <w:rPr>
          <w:rFonts w:ascii="Times New Roman" w:hAnsi="Times New Roman"/>
          <w:color w:val="1F2329"/>
          <w:kern w:val="0"/>
          <w:szCs w:val="24"/>
        </w:rPr>
        <w:t>kg</w:t>
      </w:r>
      <w:r>
        <w:rPr>
          <w:rFonts w:ascii="Times New Roman" w:hAnsi="Times New Roman"/>
        </w:rPr>
        <w:t>·d</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580"/>
        <w:rPr>
          <w:rFonts w:ascii="Times New Roman" w:hAnsi="Times New Roman"/>
          <w:color w:val="1F2329"/>
          <w:kern w:val="0"/>
          <w:szCs w:val="24"/>
        </w:rPr>
      </w:pPr>
      <m:oMath>
        <m:sSub>
          <m:sSubPr>
            <m:ctrlPr>
              <w:rPr>
                <w:rFonts w:ascii="Cambria Math" w:hAnsi="Cambria Math"/>
                <w:i/>
                <w:color w:val="1F2329"/>
                <w:kern w:val="0"/>
              </w:rPr>
            </m:ctrlPr>
          </m:sSubPr>
          <m:e>
            <m:r>
              <w:rPr>
                <w:rFonts w:ascii="Cambria Math" w:hAnsi="Cambria Math"/>
                <w:color w:val="1F2329"/>
                <w:kern w:val="0"/>
              </w:rPr>
              <m:t>CF</m:t>
            </m:r>
          </m:e>
          <m:sub>
            <m:r>
              <w:rPr>
                <w:rFonts w:ascii="Cambria Math" w:hAnsi="Cambria Math"/>
                <w:color w:val="1F2329"/>
                <w:kern w:val="0"/>
              </w:rPr>
              <m:t>Beef</m:t>
            </m:r>
          </m:sub>
        </m:sSub>
      </m:oMath>
      <w:r>
        <w:rPr>
          <w:rFonts w:ascii="Times New Roman" w:hAnsi="Times New Roman"/>
          <w:color w:val="1F2329"/>
          <w:kern w:val="0"/>
          <w:szCs w:val="24"/>
        </w:rPr>
        <w:t>—</w:t>
      </w:r>
      <w:r>
        <w:rPr>
          <w:rFonts w:ascii="Times New Roman" w:hAnsi="Times New Roman"/>
        </w:rPr>
        <w:t>放射性核素</w:t>
      </w:r>
      <w:r>
        <w:rPr>
          <w:rFonts w:ascii="Times New Roman" w:hAnsi="Times New Roman"/>
          <w:color w:val="1F2329"/>
          <w:kern w:val="0"/>
          <w:szCs w:val="24"/>
        </w:rPr>
        <w:t>在牛肉中的浓度系数</w:t>
      </w:r>
      <w:r>
        <w:rPr>
          <w:rFonts w:ascii="Times New Roman" w:hAnsi="Times New Roman"/>
          <w:color w:val="1F2329"/>
          <w:kern w:val="0"/>
          <w:szCs w:val="24"/>
        </w:rPr>
        <w:t>（</w:t>
      </w:r>
      <w:r>
        <w:rPr>
          <w:rFonts w:ascii="Times New Roman" w:hAnsi="Times New Roman"/>
          <w:color w:val="1F2329"/>
          <w:kern w:val="0"/>
          <w:szCs w:val="24"/>
        </w:rPr>
        <w:t>d</w:t>
      </w:r>
      <w:r>
        <w:rPr>
          <w:rFonts w:ascii="Times New Roman" w:hAnsi="Times New Roman"/>
        </w:rPr>
        <w:t>·kg</w:t>
      </w:r>
      <w:r>
        <w:rPr>
          <w:rFonts w:ascii="Times New Roman" w:hAnsi="Times New Roman"/>
          <w:vertAlign w:val="superscript"/>
        </w:rPr>
        <w:t>-1</w:t>
      </w:r>
      <w:r>
        <w:rPr>
          <w:rFonts w:ascii="Times New Roman" w:hAnsi="Times New Roman"/>
          <w:color w:val="1F2329"/>
          <w:kern w:val="0"/>
          <w:szCs w:val="24"/>
        </w:rPr>
        <w:t>）。</w:t>
      </w:r>
    </w:p>
    <w:p w:rsidR="003C2CC0" w:rsidRDefault="00D71428">
      <w:pPr>
        <w:ind w:firstLineChars="200" w:firstLine="420"/>
        <w:rPr>
          <w:rFonts w:ascii="Times New Roman" w:hAnsi="Times New Roman"/>
          <w:color w:val="1F2329"/>
          <w:kern w:val="0"/>
          <w:szCs w:val="24"/>
        </w:rPr>
      </w:pPr>
      <w:r>
        <w:rPr>
          <w:rFonts w:ascii="Times New Roman" w:hAnsi="Times New Roman"/>
          <w:color w:val="1F2329"/>
          <w:kern w:val="0"/>
          <w:szCs w:val="24"/>
        </w:rPr>
        <w:t>以上可计算</w:t>
      </w:r>
      <w:r>
        <w:rPr>
          <w:rFonts w:ascii="Times New Roman" w:hAnsi="Times New Roman"/>
          <w:color w:val="1F2329"/>
          <w:kern w:val="0"/>
          <w:szCs w:val="24"/>
        </w:rPr>
        <w:t>牛</w:t>
      </w:r>
      <w:r>
        <w:rPr>
          <w:rFonts w:ascii="Times New Roman" w:hAnsi="Times New Roman"/>
          <w:color w:val="1F2329"/>
          <w:kern w:val="0"/>
          <w:szCs w:val="24"/>
        </w:rPr>
        <w:t>饮用水、</w:t>
      </w:r>
      <w:r>
        <w:rPr>
          <w:rFonts w:ascii="Times New Roman" w:hAnsi="Times New Roman" w:hint="eastAsia"/>
          <w:color w:val="1F2329"/>
          <w:kern w:val="0"/>
          <w:szCs w:val="24"/>
        </w:rPr>
        <w:t>食入</w:t>
      </w:r>
      <w:r>
        <w:rPr>
          <w:rFonts w:ascii="Times New Roman" w:hAnsi="Times New Roman"/>
          <w:color w:val="1F2329"/>
          <w:kern w:val="0"/>
          <w:szCs w:val="24"/>
        </w:rPr>
        <w:t>灌溉土壤种植的饲料导致的牛肉</w:t>
      </w:r>
      <w:r>
        <w:rPr>
          <w:rFonts w:ascii="Times New Roman" w:hAnsi="Times New Roman"/>
          <w:color w:val="1F2329"/>
          <w:kern w:val="0"/>
          <w:szCs w:val="24"/>
        </w:rPr>
        <w:t>放射性核素</w:t>
      </w:r>
      <w:r>
        <w:rPr>
          <w:rFonts w:ascii="Times New Roman" w:hAnsi="Times New Roman"/>
          <w:color w:val="1F2329"/>
          <w:kern w:val="0"/>
          <w:szCs w:val="24"/>
        </w:rPr>
        <w:t>总浓度（</w:t>
      </w:r>
      <w:r>
        <w:rPr>
          <w:rFonts w:ascii="Times New Roman" w:hAnsi="Times New Roman"/>
          <w:color w:val="1F2329"/>
          <w:kern w:val="0"/>
          <w:szCs w:val="24"/>
        </w:rPr>
        <w:t>Bq</w:t>
      </w:r>
      <w:r>
        <w:rPr>
          <w:rFonts w:ascii="Times New Roman" w:hAnsi="Times New Roman"/>
        </w:rPr>
        <w:t>·kg</w:t>
      </w:r>
      <w:r>
        <w:rPr>
          <w:rFonts w:ascii="Times New Roman" w:hAnsi="Times New Roman"/>
          <w:vertAlign w:val="superscript"/>
        </w:rPr>
        <w:t>-1</w:t>
      </w:r>
      <w:r>
        <w:rPr>
          <w:rFonts w:ascii="Times New Roman" w:hAnsi="Times New Roman"/>
        </w:rPr>
        <w:t>）</w:t>
      </w:r>
      <w:r>
        <w:rPr>
          <w:rFonts w:ascii="Times New Roman" w:hAnsi="Times New Roman"/>
          <w:color w:val="1F2329"/>
          <w:kern w:val="0"/>
          <w:szCs w:val="24"/>
        </w:rPr>
        <w:t>。</w:t>
      </w:r>
    </w:p>
    <w:p w:rsidR="003C2CC0" w:rsidRDefault="00D71428">
      <w:pPr>
        <w:ind w:firstLine="480"/>
        <w:rPr>
          <w:rFonts w:ascii="Times New Roman" w:hAnsi="Times New Roman"/>
        </w:rPr>
      </w:pPr>
      <w:r>
        <w:rPr>
          <w:rFonts w:ascii="Times New Roman" w:hAnsi="Times New Roman"/>
        </w:rPr>
        <w:t>3</w:t>
      </w:r>
      <w:r>
        <w:rPr>
          <w:rFonts w:ascii="Times New Roman" w:hAnsi="Times New Roman"/>
        </w:rPr>
        <w:t>）居民</w:t>
      </w:r>
      <w:r>
        <w:rPr>
          <w:rFonts w:ascii="Times New Roman" w:hAnsi="Times New Roman" w:hint="eastAsia"/>
        </w:rPr>
        <w:t>食入</w:t>
      </w:r>
      <w:r>
        <w:rPr>
          <w:rFonts w:ascii="Times New Roman" w:hAnsi="Times New Roman"/>
        </w:rPr>
        <w:t>牛肉的</w:t>
      </w:r>
      <w:r>
        <w:rPr>
          <w:rFonts w:ascii="Times New Roman" w:hAnsi="Times New Roman"/>
        </w:rPr>
        <w:t>30</w:t>
      </w:r>
      <w:r>
        <w:rPr>
          <w:rFonts w:ascii="Times New Roman" w:hAnsi="Times New Roman"/>
        </w:rPr>
        <w:t>年终身</w:t>
      </w:r>
      <w:r>
        <w:rPr>
          <w:rFonts w:ascii="Times New Roman" w:hAnsi="Times New Roman"/>
        </w:rPr>
        <w:t>致病</w:t>
      </w:r>
      <w:r>
        <w:rPr>
          <w:rFonts w:ascii="Times New Roman" w:hAnsi="Times New Roman"/>
        </w:rPr>
        <w:t>风险</w:t>
      </w:r>
    </w:p>
    <w:p w:rsidR="003C2CC0" w:rsidRDefault="00D71428">
      <w:pPr>
        <w:jc w:val="center"/>
        <w:rPr>
          <w:rFonts w:ascii="Times New Roman" w:hAnsi="Times New Roman"/>
        </w:rPr>
      </w:pPr>
      <m:oMathPara>
        <m:oMath>
          <m:r>
            <w:rPr>
              <w:rFonts w:ascii="Cambria Math" w:hAnsi="Cambria Math"/>
              <w:color w:val="1F2329"/>
              <w:kern w:val="0"/>
              <w:szCs w:val="24"/>
            </w:rPr>
            <m:t>Risk</m:t>
          </m:r>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I</m:t>
              </m:r>
            </m:e>
            <m:sub>
              <m:r>
                <w:rPr>
                  <w:rFonts w:ascii="Cambria Math" w:hAnsi="Cambria Math"/>
                  <w:color w:val="1F2329"/>
                  <w:kern w:val="0"/>
                  <w:szCs w:val="24"/>
                </w:rPr>
                <m:t>Beef</m:t>
              </m:r>
            </m:sub>
          </m:sSub>
          <m:r>
            <w:rPr>
              <w:rFonts w:ascii="Cambria Math" w:hAnsi="Cambria Math"/>
              <w:color w:val="1F2329"/>
              <w:kern w:val="0"/>
              <w:szCs w:val="24"/>
            </w:rPr>
            <m:t>*</m:t>
          </m:r>
          <m:r>
            <w:rPr>
              <w:rFonts w:ascii="Cambria Math" w:hAnsi="Cambria Math"/>
              <w:color w:val="1F2329"/>
              <w:kern w:val="0"/>
              <w:szCs w:val="24"/>
            </w:rPr>
            <m:t>T</m:t>
          </m:r>
          <m:r>
            <w:rPr>
              <w:rFonts w:ascii="Cambria Math" w:hAnsi="Cambria Math"/>
              <w:color w:val="1F2329"/>
              <w:kern w:val="0"/>
              <w:szCs w:val="24"/>
            </w:rPr>
            <m:t>*</m:t>
          </m:r>
          <m:sSub>
            <m:sSubPr>
              <m:ctrlPr>
                <w:rPr>
                  <w:rFonts w:ascii="Cambria Math" w:hAnsi="Cambria Math"/>
                  <w:i/>
                  <w:color w:val="1F2329"/>
                  <w:kern w:val="0"/>
                  <w:szCs w:val="24"/>
                </w:rPr>
              </m:ctrlPr>
            </m:sSubPr>
            <m:e>
              <m:r>
                <w:rPr>
                  <w:rFonts w:ascii="Cambria Math" w:hAnsi="Cambria Math"/>
                  <w:color w:val="1F2329"/>
                  <w:kern w:val="0"/>
                  <w:szCs w:val="24"/>
                </w:rPr>
                <m:t>RCF</m:t>
              </m:r>
            </m:e>
            <m:sub>
              <m:r>
                <w:rPr>
                  <w:rFonts w:ascii="Cambria Math" w:hAnsi="Cambria Math"/>
                  <w:color w:val="1F2329"/>
                  <w:kern w:val="0"/>
                  <w:szCs w:val="24"/>
                </w:rPr>
                <m:t>M</m:t>
              </m:r>
            </m:sub>
          </m:sSub>
        </m:oMath>
      </m:oMathPara>
    </w:p>
    <w:p w:rsidR="003C2CC0" w:rsidRDefault="00D71428">
      <w:pPr>
        <w:ind w:firstLine="480"/>
        <w:rPr>
          <w:rFonts w:ascii="Times New Roman" w:hAnsi="Times New Roman"/>
        </w:rPr>
      </w:pPr>
      <w:r>
        <w:rPr>
          <w:rFonts w:ascii="Times New Roman" w:hAnsi="Times New Roman"/>
          <w:kern w:val="0"/>
        </w:rPr>
        <w:t>式中：</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I</m:t>
            </m:r>
          </m:e>
          <m:sub>
            <m:r>
              <w:rPr>
                <w:rFonts w:ascii="Cambria Math" w:hAnsi="Cambria Math"/>
              </w:rPr>
              <m:t>Beef</m:t>
            </m:r>
          </m:sub>
        </m:sSub>
      </m:oMath>
      <w:r>
        <w:rPr>
          <w:rFonts w:ascii="Times New Roman" w:hAnsi="Times New Roman"/>
        </w:rPr>
        <w:t>—</w:t>
      </w:r>
      <w:r>
        <w:rPr>
          <w:rFonts w:ascii="Times New Roman" w:hAnsi="Times New Roman"/>
        </w:rPr>
        <w:t>居民</w:t>
      </w:r>
      <w:r>
        <w:rPr>
          <w:rFonts w:ascii="Times New Roman" w:hAnsi="Times New Roman"/>
        </w:rPr>
        <w:t>放射性核素</w:t>
      </w:r>
      <w:r>
        <w:rPr>
          <w:rFonts w:ascii="Times New Roman" w:hAnsi="Times New Roman"/>
        </w:rPr>
        <w:t>摄入量（</w:t>
      </w:r>
      <w:r>
        <w:rPr>
          <w:rFonts w:ascii="Times New Roman" w:hAnsi="Times New Roman"/>
        </w:rPr>
        <w:t>Bq·y</w:t>
      </w:r>
      <w:r>
        <w:rPr>
          <w:rFonts w:ascii="Times New Roman" w:hAnsi="Times New Roman"/>
          <w:vertAlign w:val="superscript"/>
        </w:rPr>
        <w:t>-1</w:t>
      </w:r>
      <w:r>
        <w:rPr>
          <w:rFonts w:ascii="Times New Roman" w:hAnsi="Times New Roman"/>
        </w:rPr>
        <w:t>）；</w:t>
      </w:r>
    </w:p>
    <w:p w:rsidR="003C2CC0" w:rsidRDefault="00D71428">
      <w:pPr>
        <w:ind w:firstLine="480"/>
        <w:rPr>
          <w:rFonts w:ascii="Times New Roman" w:hAnsi="Times New Roman"/>
        </w:rPr>
      </w:pPr>
      <m:oMath>
        <m:sSub>
          <m:sSubPr>
            <m:ctrlPr>
              <w:rPr>
                <w:rFonts w:ascii="Cambria Math" w:hAnsi="Cambria Math"/>
                <w:i/>
              </w:rPr>
            </m:ctrlPr>
          </m:sSubPr>
          <m:e>
            <m:r>
              <w:rPr>
                <w:rFonts w:ascii="Cambria Math" w:hAnsi="Cambria Math"/>
              </w:rPr>
              <m:t>RCF</m:t>
            </m:r>
          </m:e>
          <m:sub>
            <m:r>
              <w:rPr>
                <w:rFonts w:ascii="Cambria Math" w:hAnsi="Cambria Math"/>
              </w:rPr>
              <m:t>M</m:t>
            </m:r>
          </m:sub>
        </m:sSub>
      </m:oMath>
      <w:r>
        <w:rPr>
          <w:rFonts w:ascii="Times New Roman" w:hAnsi="Times New Roman"/>
        </w:rPr>
        <w:t>—</w:t>
      </w:r>
      <w:r>
        <w:rPr>
          <w:rFonts w:ascii="Times New Roman" w:hAnsi="Times New Roman"/>
        </w:rPr>
        <w:t>发病风险系数（</w:t>
      </w:r>
      <w:r>
        <w:rPr>
          <w:rFonts w:ascii="Times New Roman" w:hAnsi="Times New Roman"/>
        </w:rPr>
        <w:t>Bq</w:t>
      </w:r>
      <w:r>
        <w:rPr>
          <w:rFonts w:ascii="Times New Roman" w:hAnsi="Times New Roman"/>
          <w:vertAlign w:val="superscript"/>
        </w:rPr>
        <w:t>-1</w:t>
      </w:r>
      <w:r>
        <w:rPr>
          <w:rFonts w:ascii="Times New Roman" w:hAnsi="Times New Roman"/>
        </w:rPr>
        <w:t>）；</w:t>
      </w:r>
    </w:p>
    <w:p w:rsidR="003C2CC0" w:rsidRDefault="00D71428">
      <w:pPr>
        <w:ind w:firstLineChars="200" w:firstLine="420"/>
        <w:rPr>
          <w:rFonts w:ascii="Times New Roman" w:hAnsi="Times New Roman"/>
        </w:rPr>
      </w:pPr>
      <w:r>
        <w:rPr>
          <w:rFonts w:ascii="Times New Roman" w:hAnsi="Times New Roman"/>
          <w:i/>
          <w:iCs/>
          <w:color w:val="1F2329"/>
          <w:kern w:val="0"/>
          <w:szCs w:val="24"/>
        </w:rPr>
        <w:t>T</w:t>
      </w:r>
      <w:r>
        <w:rPr>
          <w:rFonts w:ascii="Times New Roman" w:hAnsi="Times New Roman"/>
        </w:rPr>
        <w:t>—</w:t>
      </w:r>
      <w:r>
        <w:rPr>
          <w:rFonts w:ascii="Times New Roman" w:hAnsi="Times New Roman"/>
        </w:rPr>
        <w:t>摄入期限（</w:t>
      </w:r>
      <w:r>
        <w:rPr>
          <w:rFonts w:ascii="Times New Roman" w:hAnsi="Times New Roman"/>
        </w:rPr>
        <w:t>30y</w:t>
      </w:r>
      <w:r>
        <w:rPr>
          <w:rFonts w:ascii="Times New Roman" w:hAnsi="Times New Roman"/>
        </w:rPr>
        <w:t>）。</w:t>
      </w:r>
    </w:p>
    <w:p w:rsidR="003C2CC0" w:rsidRDefault="00D71428">
      <w:pPr>
        <w:adjustRightInd/>
        <w:spacing w:beforeLines="50" w:before="120" w:line="360" w:lineRule="auto"/>
        <w:rPr>
          <w:rFonts w:ascii="Times New Roman" w:hAnsi="Times New Roman"/>
          <w:b/>
          <w:kern w:val="0"/>
        </w:rPr>
      </w:pPr>
      <w:r>
        <w:rPr>
          <w:rFonts w:ascii="Times New Roman" w:hAnsi="Times New Roman" w:hint="eastAsia"/>
          <w:b/>
          <w:kern w:val="0"/>
        </w:rPr>
        <w:t>B</w:t>
      </w:r>
      <w:r>
        <w:rPr>
          <w:rFonts w:ascii="Times New Roman" w:hAnsi="Times New Roman"/>
          <w:b/>
          <w:kern w:val="0"/>
        </w:rPr>
        <w:t>.3</w:t>
      </w:r>
      <w:r>
        <w:rPr>
          <w:rFonts w:ascii="Times New Roman" w:hAnsi="Times New Roman"/>
          <w:b/>
          <w:kern w:val="0"/>
        </w:rPr>
        <w:t>居民暴露总风险</w:t>
      </w:r>
    </w:p>
    <w:p w:rsidR="003C2CC0" w:rsidRDefault="00D71428">
      <w:pPr>
        <w:ind w:firstLine="480"/>
        <w:rPr>
          <w:rFonts w:ascii="Times New Roman" w:hAnsi="Times New Roman"/>
          <w:lang w:val="zh-CN"/>
        </w:rPr>
      </w:pPr>
      <w:r>
        <w:rPr>
          <w:rFonts w:ascii="Times New Roman" w:hAnsi="Times New Roman"/>
          <w:lang w:val="zh-CN"/>
        </w:rPr>
        <w:t>放射性</w:t>
      </w:r>
      <w:r>
        <w:rPr>
          <w:rFonts w:ascii="Times New Roman" w:hAnsi="Times New Roman"/>
        </w:rPr>
        <w:t>核素</w:t>
      </w:r>
      <w:r>
        <w:rPr>
          <w:rFonts w:ascii="Times New Roman" w:hAnsi="Times New Roman"/>
          <w:lang w:val="zh-CN"/>
        </w:rPr>
        <w:t>所致居民暴露总风险为各暴露途径导致的风险之</w:t>
      </w:r>
      <w:proofErr w:type="gramStart"/>
      <w:r>
        <w:rPr>
          <w:rFonts w:ascii="Times New Roman" w:hAnsi="Times New Roman"/>
          <w:lang w:val="zh-CN"/>
        </w:rPr>
        <w:t>和</w:t>
      </w:r>
      <w:proofErr w:type="gramEnd"/>
    </w:p>
    <w:p w:rsidR="003C2CC0" w:rsidRDefault="00D71428">
      <w:pPr>
        <w:jc w:val="center"/>
        <w:rPr>
          <w:rFonts w:ascii="Times New Roman" w:hAnsi="Times New Roman"/>
          <w:i/>
          <w:iCs/>
          <w:lang w:val="zh-CN"/>
        </w:rPr>
      </w:pPr>
      <w:r>
        <w:rPr>
          <w:rFonts w:ascii="Times New Roman" w:hAnsi="Times New Roman"/>
          <w:i/>
          <w:iCs/>
          <w:lang w:val="zh-CN"/>
        </w:rPr>
        <w:t>Risk</w:t>
      </w:r>
      <w:r>
        <w:rPr>
          <w:rFonts w:ascii="Times New Roman" w:hAnsi="Times New Roman"/>
          <w:i/>
          <w:iCs/>
        </w:rPr>
        <w:t>=</w:t>
      </w:r>
      <w:r>
        <w:rPr>
          <w:rFonts w:ascii="Times New Roman" w:hAnsi="Times New Roman"/>
          <w:i/>
          <w:iCs/>
          <w:lang w:val="zh-CN"/>
        </w:rPr>
        <w:t>Risk</w:t>
      </w:r>
      <w:r>
        <w:rPr>
          <w:rFonts w:ascii="Times New Roman" w:hAnsi="Times New Roman"/>
          <w:i/>
          <w:iCs/>
          <w:vertAlign w:val="subscript"/>
          <w:lang w:val="zh-CN"/>
        </w:rPr>
        <w:t>饮用水</w:t>
      </w:r>
      <w:r>
        <w:rPr>
          <w:rFonts w:ascii="Times New Roman" w:hAnsi="Times New Roman"/>
          <w:i/>
          <w:iCs/>
          <w:lang w:val="zh-CN"/>
        </w:rPr>
        <w:t>+Risk</w:t>
      </w:r>
      <w:r>
        <w:rPr>
          <w:rFonts w:ascii="Times New Roman" w:hAnsi="Times New Roman" w:hint="eastAsia"/>
          <w:i/>
          <w:iCs/>
          <w:vertAlign w:val="subscript"/>
          <w:lang w:val="zh-CN"/>
        </w:rPr>
        <w:t>食</w:t>
      </w:r>
      <w:proofErr w:type="gramStart"/>
      <w:r>
        <w:rPr>
          <w:rFonts w:ascii="Times New Roman" w:hAnsi="Times New Roman" w:hint="eastAsia"/>
          <w:i/>
          <w:iCs/>
          <w:vertAlign w:val="subscript"/>
          <w:lang w:val="zh-CN"/>
        </w:rPr>
        <w:t>入</w:t>
      </w:r>
      <w:r>
        <w:rPr>
          <w:rFonts w:ascii="Times New Roman" w:hAnsi="Times New Roman"/>
          <w:i/>
          <w:iCs/>
          <w:vertAlign w:val="subscript"/>
          <w:lang w:val="zh-CN"/>
        </w:rPr>
        <w:t>蔬菜</w:t>
      </w:r>
      <w:proofErr w:type="gramEnd"/>
      <w:r>
        <w:rPr>
          <w:rFonts w:ascii="Times New Roman" w:hAnsi="Times New Roman"/>
          <w:i/>
          <w:iCs/>
          <w:lang w:val="zh-CN"/>
        </w:rPr>
        <w:t>+Risk</w:t>
      </w:r>
      <w:r>
        <w:rPr>
          <w:rFonts w:ascii="Times New Roman" w:hAnsi="Times New Roman" w:hint="eastAsia"/>
          <w:i/>
          <w:iCs/>
          <w:vertAlign w:val="subscript"/>
          <w:lang w:val="zh-CN"/>
        </w:rPr>
        <w:t>食入</w:t>
      </w:r>
      <w:r>
        <w:rPr>
          <w:rFonts w:ascii="Times New Roman" w:hAnsi="Times New Roman"/>
          <w:i/>
          <w:iCs/>
          <w:vertAlign w:val="subscript"/>
          <w:lang w:val="zh-CN"/>
        </w:rPr>
        <w:t>牛肉</w:t>
      </w:r>
    </w:p>
    <w:p w:rsidR="003C2CC0" w:rsidRDefault="00D71428">
      <w:pPr>
        <w:ind w:firstLine="480"/>
        <w:rPr>
          <w:rFonts w:ascii="Times New Roman" w:hAnsi="Times New Roman"/>
          <w:lang w:val="zh-CN"/>
        </w:rPr>
      </w:pPr>
      <w:r>
        <w:rPr>
          <w:rFonts w:ascii="Times New Roman" w:hAnsi="Times New Roman"/>
          <w:kern w:val="0"/>
        </w:rPr>
        <w:t>式中：</w:t>
      </w:r>
    </w:p>
    <w:p w:rsidR="003C2CC0" w:rsidRDefault="00D71428">
      <w:pPr>
        <w:ind w:firstLine="480"/>
        <w:rPr>
          <w:rFonts w:ascii="Times New Roman" w:hAnsi="Times New Roman"/>
          <w:lang w:val="zh-CN"/>
        </w:rPr>
      </w:pPr>
      <w:r>
        <w:rPr>
          <w:rFonts w:ascii="Times New Roman" w:hAnsi="Times New Roman"/>
          <w:i/>
          <w:iCs/>
          <w:lang w:val="zh-CN"/>
        </w:rPr>
        <w:t>Risk</w:t>
      </w:r>
      <w:r>
        <w:rPr>
          <w:rFonts w:ascii="Times New Roman" w:hAnsi="Times New Roman"/>
          <w:i/>
          <w:iCs/>
          <w:vertAlign w:val="subscript"/>
          <w:lang w:val="zh-CN"/>
        </w:rPr>
        <w:t>饮用水</w:t>
      </w:r>
      <w:r>
        <w:rPr>
          <w:rFonts w:ascii="Times New Roman" w:hAnsi="Times New Roman"/>
          <w:lang w:val="zh-CN"/>
        </w:rPr>
        <w:t>—</w:t>
      </w:r>
      <w:r>
        <w:rPr>
          <w:rFonts w:ascii="Times New Roman" w:hAnsi="Times New Roman"/>
          <w:lang w:val="zh-CN"/>
        </w:rPr>
        <w:t>饮水途径所致暴露风险；</w:t>
      </w:r>
    </w:p>
    <w:p w:rsidR="003C2CC0" w:rsidRDefault="00D71428">
      <w:pPr>
        <w:ind w:firstLine="480"/>
        <w:rPr>
          <w:rFonts w:ascii="Times New Roman" w:hAnsi="Times New Roman"/>
          <w:lang w:val="zh-CN"/>
        </w:rPr>
      </w:pPr>
      <w:r>
        <w:rPr>
          <w:rFonts w:ascii="Times New Roman" w:hAnsi="Times New Roman"/>
          <w:i/>
          <w:iCs/>
          <w:lang w:val="zh-CN"/>
        </w:rPr>
        <w:t>Risk</w:t>
      </w:r>
      <w:r>
        <w:rPr>
          <w:rFonts w:ascii="Times New Roman" w:hAnsi="Times New Roman" w:hint="eastAsia"/>
          <w:i/>
          <w:iCs/>
          <w:vertAlign w:val="subscript"/>
          <w:lang w:val="zh-CN"/>
        </w:rPr>
        <w:t>食</w:t>
      </w:r>
      <w:proofErr w:type="gramStart"/>
      <w:r>
        <w:rPr>
          <w:rFonts w:ascii="Times New Roman" w:hAnsi="Times New Roman" w:hint="eastAsia"/>
          <w:i/>
          <w:iCs/>
          <w:vertAlign w:val="subscript"/>
          <w:lang w:val="zh-CN"/>
        </w:rPr>
        <w:t>入</w:t>
      </w:r>
      <w:r>
        <w:rPr>
          <w:rFonts w:ascii="Times New Roman" w:hAnsi="Times New Roman"/>
          <w:i/>
          <w:iCs/>
          <w:vertAlign w:val="subscript"/>
          <w:lang w:val="zh-CN"/>
        </w:rPr>
        <w:t>蔬菜</w:t>
      </w:r>
      <w:r>
        <w:rPr>
          <w:rFonts w:ascii="Times New Roman" w:hAnsi="Times New Roman"/>
          <w:lang w:val="zh-CN"/>
        </w:rPr>
        <w:t>—</w:t>
      </w:r>
      <w:r>
        <w:rPr>
          <w:rFonts w:ascii="Times New Roman" w:hAnsi="Times New Roman" w:hint="eastAsia"/>
          <w:lang w:val="zh-CN"/>
        </w:rPr>
        <w:t>食</w:t>
      </w:r>
      <w:proofErr w:type="gramEnd"/>
      <w:r>
        <w:rPr>
          <w:rFonts w:ascii="Times New Roman" w:hAnsi="Times New Roman" w:hint="eastAsia"/>
          <w:lang w:val="zh-CN"/>
        </w:rPr>
        <w:t>入</w:t>
      </w:r>
      <w:r>
        <w:rPr>
          <w:rFonts w:ascii="Times New Roman" w:hAnsi="Times New Roman"/>
          <w:lang w:val="zh-CN"/>
        </w:rPr>
        <w:t>灌溉蔬菜途径所致暴露风险；</w:t>
      </w:r>
    </w:p>
    <w:p w:rsidR="003C2CC0" w:rsidRDefault="00D71428">
      <w:pPr>
        <w:ind w:firstLineChars="200" w:firstLine="420"/>
        <w:rPr>
          <w:rFonts w:hint="eastAsia"/>
          <w:lang w:val="zh-CN"/>
        </w:rPr>
      </w:pPr>
      <w:r>
        <w:rPr>
          <w:rFonts w:ascii="Times New Roman" w:hAnsi="Times New Roman"/>
          <w:i/>
          <w:iCs/>
          <w:lang w:val="zh-CN"/>
        </w:rPr>
        <w:t>Risk</w:t>
      </w:r>
      <w:r>
        <w:rPr>
          <w:rFonts w:ascii="Times New Roman" w:hAnsi="Times New Roman" w:hint="eastAsia"/>
          <w:i/>
          <w:iCs/>
          <w:vertAlign w:val="subscript"/>
          <w:lang w:val="zh-CN"/>
        </w:rPr>
        <w:t>食入</w:t>
      </w:r>
      <w:proofErr w:type="gramStart"/>
      <w:r>
        <w:rPr>
          <w:rFonts w:ascii="Times New Roman" w:hAnsi="Times New Roman"/>
          <w:i/>
          <w:iCs/>
          <w:vertAlign w:val="subscript"/>
          <w:lang w:val="zh-CN"/>
        </w:rPr>
        <w:t>牛肉</w:t>
      </w:r>
      <w:r>
        <w:rPr>
          <w:rFonts w:ascii="Times New Roman" w:hAnsi="Times New Roman"/>
          <w:lang w:val="zh-CN"/>
        </w:rPr>
        <w:t>—</w:t>
      </w:r>
      <w:r>
        <w:rPr>
          <w:rFonts w:ascii="Times New Roman" w:hAnsi="Times New Roman" w:hint="eastAsia"/>
          <w:lang w:val="zh-CN"/>
        </w:rPr>
        <w:t>食入</w:t>
      </w:r>
      <w:proofErr w:type="gramEnd"/>
      <w:r>
        <w:rPr>
          <w:rFonts w:ascii="Times New Roman" w:hAnsi="Times New Roman"/>
          <w:lang w:val="zh-CN"/>
        </w:rPr>
        <w:t>牛肉途径所致暴露风险。</w:t>
      </w:r>
      <w:bookmarkEnd w:id="78"/>
    </w:p>
    <w:sectPr w:rsidR="003C2CC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428" w:rsidRDefault="00D71428">
      <w:pPr>
        <w:spacing w:line="240" w:lineRule="auto"/>
      </w:pPr>
      <w:r>
        <w:separator/>
      </w:r>
    </w:p>
  </w:endnote>
  <w:endnote w:type="continuationSeparator" w:id="0">
    <w:p w:rsidR="00D71428" w:rsidRDefault="00D71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D71428">
    <w:pPr>
      <w:pStyle w:val="a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3C2CC0">
    <w:pPr>
      <w:pStyle w:val="a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3C2CC0">
    <w:pPr>
      <w:pStyle w:val="a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D71428">
    <w:pPr>
      <w:pStyle w:val="affff3"/>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428" w:rsidRDefault="00D71428">
      <w:pPr>
        <w:spacing w:line="240" w:lineRule="auto"/>
      </w:pPr>
      <w:r>
        <w:separator/>
      </w:r>
    </w:p>
  </w:footnote>
  <w:footnote w:type="continuationSeparator" w:id="0">
    <w:p w:rsidR="00D71428" w:rsidRDefault="00D714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3C2CC0">
    <w:pPr>
      <w:pStyle w:val="a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D71428">
    <w:pPr>
      <w:pStyle w:val="a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3C2CC0">
    <w:pPr>
      <w:pStyle w:val="a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D71428">
    <w:pPr>
      <w:pStyle w:val="a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CC0" w:rsidRDefault="00D71428">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210E8">
      <w:rPr>
        <w:noProof/>
      </w:rPr>
      <w:t>T/</w:t>
    </w:r>
    <w:r w:rsidR="00E210E8">
      <w:rPr>
        <w:noProof/>
      </w:rPr>
      <w:t>     </w:t>
    </w:r>
    <w:r w:rsidR="00E210E8">
      <w:rPr>
        <w:noProof/>
      </w:rPr>
      <w:t xml:space="preserve"> XXXX</w:t>
    </w:r>
    <w:r w:rsidR="00E210E8">
      <w:rPr>
        <w:noProof/>
      </w:rPr>
      <w:t>—</w:t>
    </w:r>
    <w:r w:rsidR="00E210E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6"/>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7"/>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9"/>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a"/>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b"/>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c"/>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d"/>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e"/>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
      <w:lvlText w:val="%1)"/>
      <w:lvlJc w:val="left"/>
      <w:pPr>
        <w:tabs>
          <w:tab w:val="left" w:pos="851"/>
        </w:tabs>
        <w:ind w:left="851" w:hanging="426"/>
      </w:pPr>
      <w:rPr>
        <w:rFonts w:ascii="宋体" w:eastAsia="宋体" w:hAnsi="Times New Roman" w:hint="eastAsia"/>
        <w:sz w:val="21"/>
      </w:rPr>
    </w:lvl>
    <w:lvl w:ilvl="1">
      <w:start w:val="1"/>
      <w:numFmt w:val="decimal"/>
      <w:pStyle w:val="af0"/>
      <w:lvlText w:val="%2)"/>
      <w:lvlJc w:val="left"/>
      <w:pPr>
        <w:tabs>
          <w:tab w:val="left" w:pos="1276"/>
        </w:tabs>
        <w:ind w:left="1276" w:hanging="425"/>
      </w:pPr>
      <w:rPr>
        <w:rFonts w:ascii="宋体" w:eastAsia="宋体" w:hAnsi="Times New Roman" w:hint="eastAsia"/>
        <w:sz w:val="21"/>
      </w:rPr>
    </w:lvl>
    <w:lvl w:ilvl="2">
      <w:start w:val="1"/>
      <w:numFmt w:val="decimal"/>
      <w:pStyle w:val="af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2"/>
      <w:lvlText w:val="%1"/>
      <w:lvlJc w:val="left"/>
      <w:pPr>
        <w:ind w:left="420" w:hanging="420"/>
      </w:pPr>
      <w:rPr>
        <w:rFonts w:hint="eastAsia"/>
      </w:rPr>
    </w:lvl>
    <w:lvl w:ilvl="1">
      <w:start w:val="1"/>
      <w:numFmt w:val="decimal"/>
      <w:pStyle w:val="af3"/>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5"/>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1A141AB"/>
    <w:multiLevelType w:val="multilevel"/>
    <w:tmpl w:val="51A141A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4632751"/>
    <w:multiLevelType w:val="multilevel"/>
    <w:tmpl w:val="54632751"/>
    <w:lvl w:ilvl="0">
      <w:start w:val="1"/>
      <w:numFmt w:val="none"/>
      <w:pStyle w:val="af6"/>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7"/>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a"/>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b"/>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c"/>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DBF04F4"/>
    <w:multiLevelType w:val="multilevel"/>
    <w:tmpl w:val="6DBF04F4"/>
    <w:lvl w:ilvl="0">
      <w:start w:val="1"/>
      <w:numFmt w:val="none"/>
      <w:pStyle w:val="aff"/>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0"/>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76933334"/>
    <w:multiLevelType w:val="multilevel"/>
    <w:tmpl w:val="76933334"/>
    <w:lvl w:ilvl="0">
      <w:start w:val="1"/>
      <w:numFmt w:val="none"/>
      <w:pStyle w:val="aff1"/>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5"/>
  </w:num>
  <w:num w:numId="3">
    <w:abstractNumId w:val="19"/>
  </w:num>
  <w:num w:numId="4">
    <w:abstractNumId w:val="13"/>
  </w:num>
  <w:num w:numId="5">
    <w:abstractNumId w:val="8"/>
  </w:num>
  <w:num w:numId="6">
    <w:abstractNumId w:val="9"/>
  </w:num>
  <w:num w:numId="7">
    <w:abstractNumId w:val="17"/>
  </w:num>
  <w:num w:numId="8">
    <w:abstractNumId w:val="25"/>
  </w:num>
  <w:num w:numId="9">
    <w:abstractNumId w:val="11"/>
  </w:num>
  <w:num w:numId="10">
    <w:abstractNumId w:val="12"/>
  </w:num>
  <w:num w:numId="11">
    <w:abstractNumId w:val="7"/>
  </w:num>
  <w:num w:numId="12">
    <w:abstractNumId w:val="20"/>
  </w:num>
  <w:num w:numId="13">
    <w:abstractNumId w:val="22"/>
  </w:num>
  <w:num w:numId="14">
    <w:abstractNumId w:val="18"/>
  </w:num>
  <w:num w:numId="15">
    <w:abstractNumId w:val="28"/>
  </w:num>
  <w:num w:numId="16">
    <w:abstractNumId w:val="15"/>
  </w:num>
  <w:num w:numId="17">
    <w:abstractNumId w:val="1"/>
  </w:num>
  <w:num w:numId="18">
    <w:abstractNumId w:val="10"/>
  </w:num>
  <w:num w:numId="19">
    <w:abstractNumId w:val="29"/>
  </w:num>
  <w:num w:numId="20">
    <w:abstractNumId w:val="21"/>
  </w:num>
  <w:num w:numId="21">
    <w:abstractNumId w:val="6"/>
  </w:num>
  <w:num w:numId="22">
    <w:abstractNumId w:val="26"/>
  </w:num>
  <w:num w:numId="23">
    <w:abstractNumId w:val="27"/>
  </w:num>
  <w:num w:numId="24">
    <w:abstractNumId w:val="2"/>
  </w:num>
  <w:num w:numId="25">
    <w:abstractNumId w:val="4"/>
  </w:num>
  <w:num w:numId="26">
    <w:abstractNumId w:val="14"/>
  </w:num>
  <w:num w:numId="27">
    <w:abstractNumId w:val="24"/>
  </w:num>
  <w:num w:numId="28">
    <w:abstractNumId w:val="23"/>
  </w:num>
  <w:num w:numId="29">
    <w:abstractNumId w:val="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1" w:cryptProviderType="rsaAES" w:cryptAlgorithmClass="hash" w:cryptAlgorithmType="typeAny" w:cryptAlgorithmSid="14" w:cryptSpinCount="100000" w:hash="T7xlUwvChLkOYIoQhEHv16MQ3G2QzH51yeaVQEpSCkZg2NGAGUmOkfwhBu+5jn5jrmJk4i5d56bN5h4nIq32uA==" w:salt="P0agW57rZBHcETLxY4VJNA=="/>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kzZWRjNWEwOWUwNzEzMTA5ZjE1MTc2NDVlMTllZTQifQ=="/>
  </w:docVars>
  <w:rsids>
    <w:rsidRoot w:val="00172A27"/>
    <w:rsid w:val="0000040A"/>
    <w:rsid w:val="00000A94"/>
    <w:rsid w:val="00001972"/>
    <w:rsid w:val="00001D9A"/>
    <w:rsid w:val="00007B3A"/>
    <w:rsid w:val="000107E0"/>
    <w:rsid w:val="00011FDE"/>
    <w:rsid w:val="00012FFD"/>
    <w:rsid w:val="00014162"/>
    <w:rsid w:val="00014340"/>
    <w:rsid w:val="00016A9C"/>
    <w:rsid w:val="00022066"/>
    <w:rsid w:val="00022184"/>
    <w:rsid w:val="00022762"/>
    <w:rsid w:val="000238E0"/>
    <w:rsid w:val="000249DB"/>
    <w:rsid w:val="0002595E"/>
    <w:rsid w:val="000303C3"/>
    <w:rsid w:val="00030B4A"/>
    <w:rsid w:val="000331D3"/>
    <w:rsid w:val="000346A5"/>
    <w:rsid w:val="000359C3"/>
    <w:rsid w:val="00035A7D"/>
    <w:rsid w:val="000365ED"/>
    <w:rsid w:val="0004249A"/>
    <w:rsid w:val="00043282"/>
    <w:rsid w:val="00043A77"/>
    <w:rsid w:val="00044286"/>
    <w:rsid w:val="00046B57"/>
    <w:rsid w:val="00047F28"/>
    <w:rsid w:val="000503AA"/>
    <w:rsid w:val="000506A1"/>
    <w:rsid w:val="000515DD"/>
    <w:rsid w:val="0005265A"/>
    <w:rsid w:val="00052AE7"/>
    <w:rsid w:val="000539DD"/>
    <w:rsid w:val="00053BD3"/>
    <w:rsid w:val="000556ED"/>
    <w:rsid w:val="00055FE2"/>
    <w:rsid w:val="0005616F"/>
    <w:rsid w:val="00060C2E"/>
    <w:rsid w:val="00061033"/>
    <w:rsid w:val="000619E9"/>
    <w:rsid w:val="00061C8A"/>
    <w:rsid w:val="000622D4"/>
    <w:rsid w:val="0006357D"/>
    <w:rsid w:val="00063A78"/>
    <w:rsid w:val="00067F1E"/>
    <w:rsid w:val="00071CC0"/>
    <w:rsid w:val="00071CFC"/>
    <w:rsid w:val="00073C8C"/>
    <w:rsid w:val="00077B64"/>
    <w:rsid w:val="00080A1C"/>
    <w:rsid w:val="00082317"/>
    <w:rsid w:val="00083D2C"/>
    <w:rsid w:val="000867B0"/>
    <w:rsid w:val="00086AA1"/>
    <w:rsid w:val="00086C91"/>
    <w:rsid w:val="00087A77"/>
    <w:rsid w:val="00090CA6"/>
    <w:rsid w:val="00092B8A"/>
    <w:rsid w:val="00092FB0"/>
    <w:rsid w:val="000934C5"/>
    <w:rsid w:val="00093D25"/>
    <w:rsid w:val="00093DAB"/>
    <w:rsid w:val="00094D73"/>
    <w:rsid w:val="00095BF1"/>
    <w:rsid w:val="00096D63"/>
    <w:rsid w:val="000A0B60"/>
    <w:rsid w:val="000A0EB8"/>
    <w:rsid w:val="000A19FC"/>
    <w:rsid w:val="000A296B"/>
    <w:rsid w:val="000A7311"/>
    <w:rsid w:val="000B060F"/>
    <w:rsid w:val="000B1592"/>
    <w:rsid w:val="000B1FF2"/>
    <w:rsid w:val="000B3CDA"/>
    <w:rsid w:val="000B5830"/>
    <w:rsid w:val="000B6A0B"/>
    <w:rsid w:val="000C0F6C"/>
    <w:rsid w:val="000C11DB"/>
    <w:rsid w:val="000C1492"/>
    <w:rsid w:val="000C2FBD"/>
    <w:rsid w:val="000C4B41"/>
    <w:rsid w:val="000C57D6"/>
    <w:rsid w:val="000C6362"/>
    <w:rsid w:val="000C7666"/>
    <w:rsid w:val="000D03E1"/>
    <w:rsid w:val="000D0406"/>
    <w:rsid w:val="000D0A9C"/>
    <w:rsid w:val="000D1795"/>
    <w:rsid w:val="000D329A"/>
    <w:rsid w:val="000D4712"/>
    <w:rsid w:val="000D4B9C"/>
    <w:rsid w:val="000D4EB6"/>
    <w:rsid w:val="000D753B"/>
    <w:rsid w:val="000E3037"/>
    <w:rsid w:val="000E4C9E"/>
    <w:rsid w:val="000E6FD7"/>
    <w:rsid w:val="000E7144"/>
    <w:rsid w:val="000F06E1"/>
    <w:rsid w:val="000F0E3C"/>
    <w:rsid w:val="000F1958"/>
    <w:rsid w:val="000F19D5"/>
    <w:rsid w:val="000F3FF2"/>
    <w:rsid w:val="000F4050"/>
    <w:rsid w:val="000F4AEA"/>
    <w:rsid w:val="000F678C"/>
    <w:rsid w:val="000F67E9"/>
    <w:rsid w:val="000F6E7C"/>
    <w:rsid w:val="00104926"/>
    <w:rsid w:val="00113B1E"/>
    <w:rsid w:val="00115D38"/>
    <w:rsid w:val="0011711C"/>
    <w:rsid w:val="0012255D"/>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3BD"/>
    <w:rsid w:val="00155B9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0373"/>
    <w:rsid w:val="001852C9"/>
    <w:rsid w:val="00187033"/>
    <w:rsid w:val="00187A0B"/>
    <w:rsid w:val="00190087"/>
    <w:rsid w:val="001913C4"/>
    <w:rsid w:val="0019348F"/>
    <w:rsid w:val="00193A07"/>
    <w:rsid w:val="00194C95"/>
    <w:rsid w:val="00195C34"/>
    <w:rsid w:val="00196EF5"/>
    <w:rsid w:val="001A1A53"/>
    <w:rsid w:val="001A234A"/>
    <w:rsid w:val="001A289C"/>
    <w:rsid w:val="001A4CF3"/>
    <w:rsid w:val="001A6696"/>
    <w:rsid w:val="001B06E8"/>
    <w:rsid w:val="001B4A96"/>
    <w:rsid w:val="001B71D0"/>
    <w:rsid w:val="001B71EE"/>
    <w:rsid w:val="001B7748"/>
    <w:rsid w:val="001C04A8"/>
    <w:rsid w:val="001C2C03"/>
    <w:rsid w:val="001C42F7"/>
    <w:rsid w:val="001C49E5"/>
    <w:rsid w:val="001C680C"/>
    <w:rsid w:val="001C7FEA"/>
    <w:rsid w:val="001D031D"/>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964"/>
    <w:rsid w:val="001F69B4"/>
    <w:rsid w:val="001F77C7"/>
    <w:rsid w:val="00200183"/>
    <w:rsid w:val="00200333"/>
    <w:rsid w:val="0020107D"/>
    <w:rsid w:val="00202AA4"/>
    <w:rsid w:val="002031F7"/>
    <w:rsid w:val="002040E6"/>
    <w:rsid w:val="0020527B"/>
    <w:rsid w:val="00205F2C"/>
    <w:rsid w:val="00206AE5"/>
    <w:rsid w:val="00210B15"/>
    <w:rsid w:val="00211B34"/>
    <w:rsid w:val="002142EA"/>
    <w:rsid w:val="00215ADD"/>
    <w:rsid w:val="002204BB"/>
    <w:rsid w:val="00221B79"/>
    <w:rsid w:val="00221C6B"/>
    <w:rsid w:val="002253A1"/>
    <w:rsid w:val="00225CF8"/>
    <w:rsid w:val="0022794E"/>
    <w:rsid w:val="002302FB"/>
    <w:rsid w:val="00233D64"/>
    <w:rsid w:val="0023482A"/>
    <w:rsid w:val="002359CB"/>
    <w:rsid w:val="00243540"/>
    <w:rsid w:val="0024497B"/>
    <w:rsid w:val="0024515B"/>
    <w:rsid w:val="00246021"/>
    <w:rsid w:val="0024666E"/>
    <w:rsid w:val="002471CB"/>
    <w:rsid w:val="002471D3"/>
    <w:rsid w:val="00247F52"/>
    <w:rsid w:val="00250B25"/>
    <w:rsid w:val="00250BBE"/>
    <w:rsid w:val="002515C2"/>
    <w:rsid w:val="0025194F"/>
    <w:rsid w:val="0026148A"/>
    <w:rsid w:val="00262696"/>
    <w:rsid w:val="00263D25"/>
    <w:rsid w:val="002643C3"/>
    <w:rsid w:val="00264A0C"/>
    <w:rsid w:val="00266EEB"/>
    <w:rsid w:val="00267EF4"/>
    <w:rsid w:val="00270CB8"/>
    <w:rsid w:val="00271D89"/>
    <w:rsid w:val="00272B08"/>
    <w:rsid w:val="00274BDC"/>
    <w:rsid w:val="002816D1"/>
    <w:rsid w:val="00281BB8"/>
    <w:rsid w:val="00281E9E"/>
    <w:rsid w:val="0028206A"/>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68A"/>
    <w:rsid w:val="002A4CEA"/>
    <w:rsid w:val="002A5977"/>
    <w:rsid w:val="002A5A13"/>
    <w:rsid w:val="002A757F"/>
    <w:rsid w:val="002A7F44"/>
    <w:rsid w:val="002B0C40"/>
    <w:rsid w:val="002B1966"/>
    <w:rsid w:val="002B4508"/>
    <w:rsid w:val="002B523F"/>
    <w:rsid w:val="002B5779"/>
    <w:rsid w:val="002B7332"/>
    <w:rsid w:val="002B7F51"/>
    <w:rsid w:val="002C09E7"/>
    <w:rsid w:val="002C1E06"/>
    <w:rsid w:val="002C297E"/>
    <w:rsid w:val="002C3F07"/>
    <w:rsid w:val="002C5278"/>
    <w:rsid w:val="002C7EBB"/>
    <w:rsid w:val="002D06C1"/>
    <w:rsid w:val="002D42B5"/>
    <w:rsid w:val="002D4F1A"/>
    <w:rsid w:val="002D6EC6"/>
    <w:rsid w:val="002D79AC"/>
    <w:rsid w:val="002E039D"/>
    <w:rsid w:val="002E315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7EFA"/>
    <w:rsid w:val="003331E4"/>
    <w:rsid w:val="00336C64"/>
    <w:rsid w:val="00337162"/>
    <w:rsid w:val="0034194F"/>
    <w:rsid w:val="00344605"/>
    <w:rsid w:val="003474AA"/>
    <w:rsid w:val="00350D1D"/>
    <w:rsid w:val="00352C83"/>
    <w:rsid w:val="00352F1A"/>
    <w:rsid w:val="0036107C"/>
    <w:rsid w:val="003615D2"/>
    <w:rsid w:val="0036429C"/>
    <w:rsid w:val="00364382"/>
    <w:rsid w:val="00364A53"/>
    <w:rsid w:val="003654CB"/>
    <w:rsid w:val="00365AA9"/>
    <w:rsid w:val="00365F86"/>
    <w:rsid w:val="00365F87"/>
    <w:rsid w:val="00366E89"/>
    <w:rsid w:val="003705F4"/>
    <w:rsid w:val="00370D58"/>
    <w:rsid w:val="0037108A"/>
    <w:rsid w:val="00371316"/>
    <w:rsid w:val="00376713"/>
    <w:rsid w:val="003776E1"/>
    <w:rsid w:val="00381815"/>
    <w:rsid w:val="003819AF"/>
    <w:rsid w:val="003820E9"/>
    <w:rsid w:val="00382DE7"/>
    <w:rsid w:val="00384FFC"/>
    <w:rsid w:val="003872FC"/>
    <w:rsid w:val="00387ADC"/>
    <w:rsid w:val="00390020"/>
    <w:rsid w:val="003903D6"/>
    <w:rsid w:val="00390B6A"/>
    <w:rsid w:val="00390EE6"/>
    <w:rsid w:val="0039118F"/>
    <w:rsid w:val="00392AD7"/>
    <w:rsid w:val="003938D9"/>
    <w:rsid w:val="00394376"/>
    <w:rsid w:val="003943FF"/>
    <w:rsid w:val="003967A3"/>
    <w:rsid w:val="003974EB"/>
    <w:rsid w:val="00397CC5"/>
    <w:rsid w:val="003A11D1"/>
    <w:rsid w:val="003A1582"/>
    <w:rsid w:val="003A3D9C"/>
    <w:rsid w:val="003A4077"/>
    <w:rsid w:val="003A4AA7"/>
    <w:rsid w:val="003B09AD"/>
    <w:rsid w:val="003B1F18"/>
    <w:rsid w:val="003B4FE6"/>
    <w:rsid w:val="003B5889"/>
    <w:rsid w:val="003B5BF0"/>
    <w:rsid w:val="003B60BF"/>
    <w:rsid w:val="003B6BE3"/>
    <w:rsid w:val="003C010C"/>
    <w:rsid w:val="003C0A6C"/>
    <w:rsid w:val="003C14F8"/>
    <w:rsid w:val="003C2CC0"/>
    <w:rsid w:val="003C5A43"/>
    <w:rsid w:val="003D0519"/>
    <w:rsid w:val="003D0FF6"/>
    <w:rsid w:val="003D262C"/>
    <w:rsid w:val="003D577C"/>
    <w:rsid w:val="003D6D61"/>
    <w:rsid w:val="003D6D8F"/>
    <w:rsid w:val="003E019F"/>
    <w:rsid w:val="003E091D"/>
    <w:rsid w:val="003E1C53"/>
    <w:rsid w:val="003E2A69"/>
    <w:rsid w:val="003E2D49"/>
    <w:rsid w:val="003E2FD4"/>
    <w:rsid w:val="003E49F6"/>
    <w:rsid w:val="003E660F"/>
    <w:rsid w:val="003F0841"/>
    <w:rsid w:val="003F1AFB"/>
    <w:rsid w:val="003F23D3"/>
    <w:rsid w:val="003F3F08"/>
    <w:rsid w:val="003F49F1"/>
    <w:rsid w:val="003F6272"/>
    <w:rsid w:val="00400E72"/>
    <w:rsid w:val="00401400"/>
    <w:rsid w:val="00403ECA"/>
    <w:rsid w:val="00404869"/>
    <w:rsid w:val="00405884"/>
    <w:rsid w:val="00407D39"/>
    <w:rsid w:val="00410F2A"/>
    <w:rsid w:val="0041477A"/>
    <w:rsid w:val="004167A3"/>
    <w:rsid w:val="00432DAA"/>
    <w:rsid w:val="00434305"/>
    <w:rsid w:val="00435DF7"/>
    <w:rsid w:val="0044083F"/>
    <w:rsid w:val="00441AE7"/>
    <w:rsid w:val="00442201"/>
    <w:rsid w:val="00445574"/>
    <w:rsid w:val="004467FB"/>
    <w:rsid w:val="00452D6B"/>
    <w:rsid w:val="00453BAB"/>
    <w:rsid w:val="00454484"/>
    <w:rsid w:val="0045517B"/>
    <w:rsid w:val="004613EE"/>
    <w:rsid w:val="00461807"/>
    <w:rsid w:val="00463B77"/>
    <w:rsid w:val="00463C7B"/>
    <w:rsid w:val="004644A6"/>
    <w:rsid w:val="004659BD"/>
    <w:rsid w:val="00470775"/>
    <w:rsid w:val="004746B1"/>
    <w:rsid w:val="0047583F"/>
    <w:rsid w:val="00475DE8"/>
    <w:rsid w:val="00480A0B"/>
    <w:rsid w:val="00481C44"/>
    <w:rsid w:val="00482D0C"/>
    <w:rsid w:val="00483A6B"/>
    <w:rsid w:val="00484936"/>
    <w:rsid w:val="00485C89"/>
    <w:rsid w:val="00486BE3"/>
    <w:rsid w:val="004905E4"/>
    <w:rsid w:val="0049094C"/>
    <w:rsid w:val="00490A89"/>
    <w:rsid w:val="00490AB4"/>
    <w:rsid w:val="00492F02"/>
    <w:rsid w:val="004939AE"/>
    <w:rsid w:val="004A12DF"/>
    <w:rsid w:val="004A1BA8"/>
    <w:rsid w:val="004A2484"/>
    <w:rsid w:val="004A4B57"/>
    <w:rsid w:val="004A5F89"/>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EFD"/>
    <w:rsid w:val="004D65DE"/>
    <w:rsid w:val="004D7C42"/>
    <w:rsid w:val="004E0465"/>
    <w:rsid w:val="004E127B"/>
    <w:rsid w:val="004E1C0A"/>
    <w:rsid w:val="004E30C5"/>
    <w:rsid w:val="004E48BA"/>
    <w:rsid w:val="004E4AA5"/>
    <w:rsid w:val="004E4AEE"/>
    <w:rsid w:val="004E59E3"/>
    <w:rsid w:val="004E67C0"/>
    <w:rsid w:val="004E6DC6"/>
    <w:rsid w:val="004F391A"/>
    <w:rsid w:val="004F3CFB"/>
    <w:rsid w:val="004F6456"/>
    <w:rsid w:val="004F67F4"/>
    <w:rsid w:val="004F696E"/>
    <w:rsid w:val="004F6C71"/>
    <w:rsid w:val="00501139"/>
    <w:rsid w:val="0050363E"/>
    <w:rsid w:val="005039BC"/>
    <w:rsid w:val="005043BB"/>
    <w:rsid w:val="00504A3D"/>
    <w:rsid w:val="00505767"/>
    <w:rsid w:val="005073F0"/>
    <w:rsid w:val="005075F2"/>
    <w:rsid w:val="00510A7B"/>
    <w:rsid w:val="00512F6E"/>
    <w:rsid w:val="00513038"/>
    <w:rsid w:val="00514174"/>
    <w:rsid w:val="00516088"/>
    <w:rsid w:val="00516B0B"/>
    <w:rsid w:val="005220EC"/>
    <w:rsid w:val="00523BC3"/>
    <w:rsid w:val="00523F95"/>
    <w:rsid w:val="00524D65"/>
    <w:rsid w:val="00525B16"/>
    <w:rsid w:val="00533D04"/>
    <w:rsid w:val="00534804"/>
    <w:rsid w:val="00534BDF"/>
    <w:rsid w:val="005354EA"/>
    <w:rsid w:val="0053585F"/>
    <w:rsid w:val="00535EC4"/>
    <w:rsid w:val="00535ED9"/>
    <w:rsid w:val="0053692B"/>
    <w:rsid w:val="00537CE7"/>
    <w:rsid w:val="00541853"/>
    <w:rsid w:val="00543BDA"/>
    <w:rsid w:val="005441CC"/>
    <w:rsid w:val="005479DA"/>
    <w:rsid w:val="00547BCC"/>
    <w:rsid w:val="0055013B"/>
    <w:rsid w:val="00551F6F"/>
    <w:rsid w:val="0055294E"/>
    <w:rsid w:val="00555044"/>
    <w:rsid w:val="00561475"/>
    <w:rsid w:val="00561EB5"/>
    <w:rsid w:val="00562308"/>
    <w:rsid w:val="0056487B"/>
    <w:rsid w:val="00564FB9"/>
    <w:rsid w:val="00573D9E"/>
    <w:rsid w:val="005801E3"/>
    <w:rsid w:val="0058110D"/>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8CB"/>
    <w:rsid w:val="005A7FCE"/>
    <w:rsid w:val="005B0F3F"/>
    <w:rsid w:val="005B191C"/>
    <w:rsid w:val="005B352F"/>
    <w:rsid w:val="005B4903"/>
    <w:rsid w:val="005B51CE"/>
    <w:rsid w:val="005B5885"/>
    <w:rsid w:val="005B5CD7"/>
    <w:rsid w:val="005B6CF6"/>
    <w:rsid w:val="005B7422"/>
    <w:rsid w:val="005C29B8"/>
    <w:rsid w:val="005C5A22"/>
    <w:rsid w:val="005C5F21"/>
    <w:rsid w:val="005C7156"/>
    <w:rsid w:val="005D0C75"/>
    <w:rsid w:val="005D4171"/>
    <w:rsid w:val="005D6A95"/>
    <w:rsid w:val="005D6B2C"/>
    <w:rsid w:val="005D6D9C"/>
    <w:rsid w:val="005E1F90"/>
    <w:rsid w:val="005E2335"/>
    <w:rsid w:val="005E34CA"/>
    <w:rsid w:val="005E3C18"/>
    <w:rsid w:val="005E4250"/>
    <w:rsid w:val="005E6812"/>
    <w:rsid w:val="005E7881"/>
    <w:rsid w:val="005E78E0"/>
    <w:rsid w:val="005F0D9C"/>
    <w:rsid w:val="005F284E"/>
    <w:rsid w:val="006015CE"/>
    <w:rsid w:val="00604784"/>
    <w:rsid w:val="00606419"/>
    <w:rsid w:val="00607D29"/>
    <w:rsid w:val="00610BA5"/>
    <w:rsid w:val="00612952"/>
    <w:rsid w:val="00614CC1"/>
    <w:rsid w:val="00615A9D"/>
    <w:rsid w:val="00617387"/>
    <w:rsid w:val="006205D6"/>
    <w:rsid w:val="00624557"/>
    <w:rsid w:val="006252D8"/>
    <w:rsid w:val="006259BC"/>
    <w:rsid w:val="0062636B"/>
    <w:rsid w:val="00632182"/>
    <w:rsid w:val="00632AE0"/>
    <w:rsid w:val="00633C17"/>
    <w:rsid w:val="00634D9E"/>
    <w:rsid w:val="00636E3E"/>
    <w:rsid w:val="006379F7"/>
    <w:rsid w:val="00637E4D"/>
    <w:rsid w:val="00640620"/>
    <w:rsid w:val="00641A1F"/>
    <w:rsid w:val="00645904"/>
    <w:rsid w:val="00647A21"/>
    <w:rsid w:val="00651ACB"/>
    <w:rsid w:val="00651C47"/>
    <w:rsid w:val="00652AB2"/>
    <w:rsid w:val="00653FED"/>
    <w:rsid w:val="00654EC0"/>
    <w:rsid w:val="0065525B"/>
    <w:rsid w:val="00655D4F"/>
    <w:rsid w:val="00656D29"/>
    <w:rsid w:val="0065749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CC5"/>
    <w:rsid w:val="006A07AA"/>
    <w:rsid w:val="006A090F"/>
    <w:rsid w:val="006A25E5"/>
    <w:rsid w:val="006A2B46"/>
    <w:rsid w:val="006A336D"/>
    <w:rsid w:val="006A37B9"/>
    <w:rsid w:val="006B2672"/>
    <w:rsid w:val="006B2C57"/>
    <w:rsid w:val="006B54BF"/>
    <w:rsid w:val="006B5F44"/>
    <w:rsid w:val="006B5F90"/>
    <w:rsid w:val="006B62E4"/>
    <w:rsid w:val="006B7CEE"/>
    <w:rsid w:val="006C1BBA"/>
    <w:rsid w:val="006C1E1B"/>
    <w:rsid w:val="006C2079"/>
    <w:rsid w:val="006C5A62"/>
    <w:rsid w:val="006C5D68"/>
    <w:rsid w:val="006C6976"/>
    <w:rsid w:val="006C6DD0"/>
    <w:rsid w:val="006D04EA"/>
    <w:rsid w:val="006D16C4"/>
    <w:rsid w:val="006D3E96"/>
    <w:rsid w:val="006D4515"/>
    <w:rsid w:val="006D4BB1"/>
    <w:rsid w:val="006D6593"/>
    <w:rsid w:val="006E372A"/>
    <w:rsid w:val="006F03A8"/>
    <w:rsid w:val="006F2ACA"/>
    <w:rsid w:val="006F2ADC"/>
    <w:rsid w:val="006F2BFE"/>
    <w:rsid w:val="006F31E9"/>
    <w:rsid w:val="006F6284"/>
    <w:rsid w:val="007002C5"/>
    <w:rsid w:val="007039F1"/>
    <w:rsid w:val="00704387"/>
    <w:rsid w:val="00707669"/>
    <w:rsid w:val="00711CBA"/>
    <w:rsid w:val="00711FB5"/>
    <w:rsid w:val="00712A01"/>
    <w:rsid w:val="00713F28"/>
    <w:rsid w:val="00714F58"/>
    <w:rsid w:val="00722FBF"/>
    <w:rsid w:val="00722FC2"/>
    <w:rsid w:val="00724E1B"/>
    <w:rsid w:val="00725949"/>
    <w:rsid w:val="00727FA2"/>
    <w:rsid w:val="007322D9"/>
    <w:rsid w:val="00732BC0"/>
    <w:rsid w:val="0073720F"/>
    <w:rsid w:val="00737796"/>
    <w:rsid w:val="00740FD6"/>
    <w:rsid w:val="0074165C"/>
    <w:rsid w:val="00742C35"/>
    <w:rsid w:val="007432CA"/>
    <w:rsid w:val="007439EB"/>
    <w:rsid w:val="00743CB4"/>
    <w:rsid w:val="00743F0A"/>
    <w:rsid w:val="007444E8"/>
    <w:rsid w:val="0074548E"/>
    <w:rsid w:val="00745773"/>
    <w:rsid w:val="00746800"/>
    <w:rsid w:val="00746B7E"/>
    <w:rsid w:val="007501A8"/>
    <w:rsid w:val="00750D61"/>
    <w:rsid w:val="00750EE1"/>
    <w:rsid w:val="0075102C"/>
    <w:rsid w:val="00752B4D"/>
    <w:rsid w:val="00755402"/>
    <w:rsid w:val="00756B26"/>
    <w:rsid w:val="00756EDF"/>
    <w:rsid w:val="007600E3"/>
    <w:rsid w:val="00765C43"/>
    <w:rsid w:val="00765EFB"/>
    <w:rsid w:val="007671CA"/>
    <w:rsid w:val="00767C61"/>
    <w:rsid w:val="0077008A"/>
    <w:rsid w:val="00773C1F"/>
    <w:rsid w:val="00774DA4"/>
    <w:rsid w:val="00776599"/>
    <w:rsid w:val="00777BFF"/>
    <w:rsid w:val="0078114B"/>
    <w:rsid w:val="00781DD2"/>
    <w:rsid w:val="00783ECF"/>
    <w:rsid w:val="0078413A"/>
    <w:rsid w:val="007959E8"/>
    <w:rsid w:val="00795E9C"/>
    <w:rsid w:val="007A0521"/>
    <w:rsid w:val="007A0905"/>
    <w:rsid w:val="007A2E12"/>
    <w:rsid w:val="007A3253"/>
    <w:rsid w:val="007A3475"/>
    <w:rsid w:val="007A41C8"/>
    <w:rsid w:val="007A54CE"/>
    <w:rsid w:val="007A5D10"/>
    <w:rsid w:val="007A5D3A"/>
    <w:rsid w:val="007A6FD9"/>
    <w:rsid w:val="007A7FFA"/>
    <w:rsid w:val="007B04EB"/>
    <w:rsid w:val="007B0D4F"/>
    <w:rsid w:val="007B5A3D"/>
    <w:rsid w:val="007B5B95"/>
    <w:rsid w:val="007B6032"/>
    <w:rsid w:val="007B68EA"/>
    <w:rsid w:val="007B7453"/>
    <w:rsid w:val="007C2D89"/>
    <w:rsid w:val="007C328C"/>
    <w:rsid w:val="007C4593"/>
    <w:rsid w:val="007C5309"/>
    <w:rsid w:val="007C6069"/>
    <w:rsid w:val="007D06C4"/>
    <w:rsid w:val="007D1352"/>
    <w:rsid w:val="007D2508"/>
    <w:rsid w:val="007D346A"/>
    <w:rsid w:val="007D6518"/>
    <w:rsid w:val="007D67F7"/>
    <w:rsid w:val="007D76BD"/>
    <w:rsid w:val="007E0BF1"/>
    <w:rsid w:val="007E21C6"/>
    <w:rsid w:val="007E357A"/>
    <w:rsid w:val="007E4758"/>
    <w:rsid w:val="007F0ED8"/>
    <w:rsid w:val="007F0F63"/>
    <w:rsid w:val="007F75CE"/>
    <w:rsid w:val="008013A4"/>
    <w:rsid w:val="008027CE"/>
    <w:rsid w:val="00802F42"/>
    <w:rsid w:val="00804383"/>
    <w:rsid w:val="00804BB7"/>
    <w:rsid w:val="00804D41"/>
    <w:rsid w:val="008059E8"/>
    <w:rsid w:val="0080632D"/>
    <w:rsid w:val="00810257"/>
    <w:rsid w:val="008104F5"/>
    <w:rsid w:val="00811072"/>
    <w:rsid w:val="00811369"/>
    <w:rsid w:val="008126D9"/>
    <w:rsid w:val="00815419"/>
    <w:rsid w:val="008163C8"/>
    <w:rsid w:val="008164A1"/>
    <w:rsid w:val="00817325"/>
    <w:rsid w:val="008209E6"/>
    <w:rsid w:val="00821D19"/>
    <w:rsid w:val="00822DD5"/>
    <w:rsid w:val="00823303"/>
    <w:rsid w:val="008233B2"/>
    <w:rsid w:val="00823A9F"/>
    <w:rsid w:val="00823C85"/>
    <w:rsid w:val="00824041"/>
    <w:rsid w:val="00825138"/>
    <w:rsid w:val="008269DD"/>
    <w:rsid w:val="00830621"/>
    <w:rsid w:val="0083348C"/>
    <w:rsid w:val="008373D3"/>
    <w:rsid w:val="00840617"/>
    <w:rsid w:val="00840F84"/>
    <w:rsid w:val="00842A47"/>
    <w:rsid w:val="00843C13"/>
    <w:rsid w:val="00843DEF"/>
    <w:rsid w:val="008454F8"/>
    <w:rsid w:val="0085173A"/>
    <w:rsid w:val="00852261"/>
    <w:rsid w:val="008603CE"/>
    <w:rsid w:val="008620FC"/>
    <w:rsid w:val="008627A5"/>
    <w:rsid w:val="00863E05"/>
    <w:rsid w:val="00865ACA"/>
    <w:rsid w:val="00865D28"/>
    <w:rsid w:val="00865F85"/>
    <w:rsid w:val="00867C10"/>
    <w:rsid w:val="00870439"/>
    <w:rsid w:val="00870DA1"/>
    <w:rsid w:val="0087675C"/>
    <w:rsid w:val="00883F93"/>
    <w:rsid w:val="00884DB3"/>
    <w:rsid w:val="00885A9D"/>
    <w:rsid w:val="008864F6"/>
    <w:rsid w:val="00886EDD"/>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4BB"/>
    <w:rsid w:val="008B0C9C"/>
    <w:rsid w:val="008B166D"/>
    <w:rsid w:val="008B17F4"/>
    <w:rsid w:val="008B3615"/>
    <w:rsid w:val="008B4AC4"/>
    <w:rsid w:val="008B50C8"/>
    <w:rsid w:val="008B5281"/>
    <w:rsid w:val="008B660A"/>
    <w:rsid w:val="008B7E05"/>
    <w:rsid w:val="008C0815"/>
    <w:rsid w:val="008C1797"/>
    <w:rsid w:val="008C219C"/>
    <w:rsid w:val="008C475E"/>
    <w:rsid w:val="008C619A"/>
    <w:rsid w:val="008D03AF"/>
    <w:rsid w:val="008D08DB"/>
    <w:rsid w:val="008D0CE8"/>
    <w:rsid w:val="008D2D1D"/>
    <w:rsid w:val="008D453D"/>
    <w:rsid w:val="008D53AD"/>
    <w:rsid w:val="008D562B"/>
    <w:rsid w:val="008D5733"/>
    <w:rsid w:val="008D622B"/>
    <w:rsid w:val="008D666C"/>
    <w:rsid w:val="008D706C"/>
    <w:rsid w:val="008D7B54"/>
    <w:rsid w:val="008E0C9D"/>
    <w:rsid w:val="008E1648"/>
    <w:rsid w:val="008E1B3E"/>
    <w:rsid w:val="008E2319"/>
    <w:rsid w:val="008E4BB6"/>
    <w:rsid w:val="008E5518"/>
    <w:rsid w:val="008E6A84"/>
    <w:rsid w:val="008F0CDC"/>
    <w:rsid w:val="008F17A3"/>
    <w:rsid w:val="008F1ED3"/>
    <w:rsid w:val="008F46BF"/>
    <w:rsid w:val="008F4C29"/>
    <w:rsid w:val="008F63E1"/>
    <w:rsid w:val="008F70BD"/>
    <w:rsid w:val="008F788F"/>
    <w:rsid w:val="008F7EA2"/>
    <w:rsid w:val="00902722"/>
    <w:rsid w:val="009027BC"/>
    <w:rsid w:val="009062E6"/>
    <w:rsid w:val="00911BE5"/>
    <w:rsid w:val="00913CA9"/>
    <w:rsid w:val="009145AE"/>
    <w:rsid w:val="009146CE"/>
    <w:rsid w:val="00914CA7"/>
    <w:rsid w:val="00915C3E"/>
    <w:rsid w:val="009161A8"/>
    <w:rsid w:val="00920BD5"/>
    <w:rsid w:val="00922784"/>
    <w:rsid w:val="00922A73"/>
    <w:rsid w:val="009245AE"/>
    <w:rsid w:val="009245F5"/>
    <w:rsid w:val="009249EC"/>
    <w:rsid w:val="009273B3"/>
    <w:rsid w:val="009305B5"/>
    <w:rsid w:val="009378DD"/>
    <w:rsid w:val="00937D3B"/>
    <w:rsid w:val="009429D5"/>
    <w:rsid w:val="00942BF1"/>
    <w:rsid w:val="00945180"/>
    <w:rsid w:val="00945428"/>
    <w:rsid w:val="0094607B"/>
    <w:rsid w:val="00947309"/>
    <w:rsid w:val="00953604"/>
    <w:rsid w:val="0095496B"/>
    <w:rsid w:val="00960F1E"/>
    <w:rsid w:val="009610DC"/>
    <w:rsid w:val="00961490"/>
    <w:rsid w:val="00961F11"/>
    <w:rsid w:val="0096381A"/>
    <w:rsid w:val="00965E04"/>
    <w:rsid w:val="009674AD"/>
    <w:rsid w:val="00970CDC"/>
    <w:rsid w:val="00975727"/>
    <w:rsid w:val="00977010"/>
    <w:rsid w:val="00977D02"/>
    <w:rsid w:val="00977FF9"/>
    <w:rsid w:val="009809BB"/>
    <w:rsid w:val="0098364B"/>
    <w:rsid w:val="009908A3"/>
    <w:rsid w:val="009911AF"/>
    <w:rsid w:val="00991875"/>
    <w:rsid w:val="009918FA"/>
    <w:rsid w:val="00991F92"/>
    <w:rsid w:val="00992985"/>
    <w:rsid w:val="00993889"/>
    <w:rsid w:val="009941BD"/>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957"/>
    <w:rsid w:val="009C27F1"/>
    <w:rsid w:val="009C3152"/>
    <w:rsid w:val="009C3257"/>
    <w:rsid w:val="009C4CFA"/>
    <w:rsid w:val="009C5070"/>
    <w:rsid w:val="009D112C"/>
    <w:rsid w:val="009D1385"/>
    <w:rsid w:val="009D2F4E"/>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653"/>
    <w:rsid w:val="00A14C8E"/>
    <w:rsid w:val="00A153D9"/>
    <w:rsid w:val="00A15F09"/>
    <w:rsid w:val="00A169B6"/>
    <w:rsid w:val="00A2271D"/>
    <w:rsid w:val="00A237D5"/>
    <w:rsid w:val="00A30EFC"/>
    <w:rsid w:val="00A31984"/>
    <w:rsid w:val="00A32D73"/>
    <w:rsid w:val="00A3367B"/>
    <w:rsid w:val="00A33C67"/>
    <w:rsid w:val="00A3493E"/>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5CAA"/>
    <w:rsid w:val="00A77CCB"/>
    <w:rsid w:val="00A83D8D"/>
    <w:rsid w:val="00A8446B"/>
    <w:rsid w:val="00A8473F"/>
    <w:rsid w:val="00A84C1D"/>
    <w:rsid w:val="00A862D6"/>
    <w:rsid w:val="00A86926"/>
    <w:rsid w:val="00A8715E"/>
    <w:rsid w:val="00A9295B"/>
    <w:rsid w:val="00A93B09"/>
    <w:rsid w:val="00A93F1D"/>
    <w:rsid w:val="00A952D7"/>
    <w:rsid w:val="00A963F7"/>
    <w:rsid w:val="00A96AD8"/>
    <w:rsid w:val="00AA052C"/>
    <w:rsid w:val="00AA1E45"/>
    <w:rsid w:val="00AA4286"/>
    <w:rsid w:val="00AA456B"/>
    <w:rsid w:val="00AA57F5"/>
    <w:rsid w:val="00AA672E"/>
    <w:rsid w:val="00AA6EC9"/>
    <w:rsid w:val="00AB6309"/>
    <w:rsid w:val="00AB6C5F"/>
    <w:rsid w:val="00AB7129"/>
    <w:rsid w:val="00AB7E2B"/>
    <w:rsid w:val="00AC27A6"/>
    <w:rsid w:val="00AC30F7"/>
    <w:rsid w:val="00AC3A5A"/>
    <w:rsid w:val="00AC4D95"/>
    <w:rsid w:val="00AC5DF4"/>
    <w:rsid w:val="00AD0AEF"/>
    <w:rsid w:val="00AD11B7"/>
    <w:rsid w:val="00AD1898"/>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BD9"/>
    <w:rsid w:val="00B07242"/>
    <w:rsid w:val="00B10534"/>
    <w:rsid w:val="00B113DB"/>
    <w:rsid w:val="00B11D8A"/>
    <w:rsid w:val="00B11FBA"/>
    <w:rsid w:val="00B12981"/>
    <w:rsid w:val="00B1357C"/>
    <w:rsid w:val="00B147DD"/>
    <w:rsid w:val="00B156FD"/>
    <w:rsid w:val="00B16D44"/>
    <w:rsid w:val="00B17F9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3F1"/>
    <w:rsid w:val="00B56144"/>
    <w:rsid w:val="00B56FBE"/>
    <w:rsid w:val="00B60ACF"/>
    <w:rsid w:val="00B62B58"/>
    <w:rsid w:val="00B65149"/>
    <w:rsid w:val="00B65742"/>
    <w:rsid w:val="00B66567"/>
    <w:rsid w:val="00B66F52"/>
    <w:rsid w:val="00B66FE5"/>
    <w:rsid w:val="00B72880"/>
    <w:rsid w:val="00B758BF"/>
    <w:rsid w:val="00B77EC8"/>
    <w:rsid w:val="00B827A6"/>
    <w:rsid w:val="00B831CE"/>
    <w:rsid w:val="00B86677"/>
    <w:rsid w:val="00B86FB2"/>
    <w:rsid w:val="00B87131"/>
    <w:rsid w:val="00B939B1"/>
    <w:rsid w:val="00B94782"/>
    <w:rsid w:val="00B94800"/>
    <w:rsid w:val="00B96D40"/>
    <w:rsid w:val="00B97386"/>
    <w:rsid w:val="00B9764A"/>
    <w:rsid w:val="00BA107E"/>
    <w:rsid w:val="00BA263B"/>
    <w:rsid w:val="00BA3611"/>
    <w:rsid w:val="00BA42B2"/>
    <w:rsid w:val="00BA56E8"/>
    <w:rsid w:val="00BA58D4"/>
    <w:rsid w:val="00BA5B9E"/>
    <w:rsid w:val="00BA6D9C"/>
    <w:rsid w:val="00BA7C9A"/>
    <w:rsid w:val="00BB5F8F"/>
    <w:rsid w:val="00BB657A"/>
    <w:rsid w:val="00BC1A4E"/>
    <w:rsid w:val="00BC43B1"/>
    <w:rsid w:val="00BC5DC7"/>
    <w:rsid w:val="00BC6B8B"/>
    <w:rsid w:val="00BC73D8"/>
    <w:rsid w:val="00BC7576"/>
    <w:rsid w:val="00BD52D7"/>
    <w:rsid w:val="00BD5AD2"/>
    <w:rsid w:val="00BE22F3"/>
    <w:rsid w:val="00BE5B52"/>
    <w:rsid w:val="00BE7B8D"/>
    <w:rsid w:val="00BF0993"/>
    <w:rsid w:val="00BF10A9"/>
    <w:rsid w:val="00BF1703"/>
    <w:rsid w:val="00BF231C"/>
    <w:rsid w:val="00BF3CBB"/>
    <w:rsid w:val="00BF51E5"/>
    <w:rsid w:val="00BF74A6"/>
    <w:rsid w:val="00C00826"/>
    <w:rsid w:val="00C013AD"/>
    <w:rsid w:val="00C04904"/>
    <w:rsid w:val="00C056B3"/>
    <w:rsid w:val="00C103E5"/>
    <w:rsid w:val="00C1234F"/>
    <w:rsid w:val="00C13319"/>
    <w:rsid w:val="00C13EE9"/>
    <w:rsid w:val="00C21540"/>
    <w:rsid w:val="00C21906"/>
    <w:rsid w:val="00C21BFA"/>
    <w:rsid w:val="00C24C8D"/>
    <w:rsid w:val="00C24E87"/>
    <w:rsid w:val="00C25FE2"/>
    <w:rsid w:val="00C26B53"/>
    <w:rsid w:val="00C279B2"/>
    <w:rsid w:val="00C31616"/>
    <w:rsid w:val="00C33E50"/>
    <w:rsid w:val="00C34C20"/>
    <w:rsid w:val="00C35A3E"/>
    <w:rsid w:val="00C40082"/>
    <w:rsid w:val="00C41FDC"/>
    <w:rsid w:val="00C42130"/>
    <w:rsid w:val="00C423A4"/>
    <w:rsid w:val="00C423E3"/>
    <w:rsid w:val="00C44BF5"/>
    <w:rsid w:val="00C521D6"/>
    <w:rsid w:val="00C53C86"/>
    <w:rsid w:val="00C55232"/>
    <w:rsid w:val="00C553A4"/>
    <w:rsid w:val="00C55A06"/>
    <w:rsid w:val="00C55D03"/>
    <w:rsid w:val="00C601BC"/>
    <w:rsid w:val="00C61611"/>
    <w:rsid w:val="00C6329F"/>
    <w:rsid w:val="00C63340"/>
    <w:rsid w:val="00C643F9"/>
    <w:rsid w:val="00C64E95"/>
    <w:rsid w:val="00C71372"/>
    <w:rsid w:val="00C7158C"/>
    <w:rsid w:val="00C72410"/>
    <w:rsid w:val="00C7287F"/>
    <w:rsid w:val="00C741CB"/>
    <w:rsid w:val="00C75610"/>
    <w:rsid w:val="00C80CB8"/>
    <w:rsid w:val="00C819F8"/>
    <w:rsid w:val="00C8248C"/>
    <w:rsid w:val="00C84E33"/>
    <w:rsid w:val="00C86886"/>
    <w:rsid w:val="00C86D6F"/>
    <w:rsid w:val="00C905FC"/>
    <w:rsid w:val="00C92D03"/>
    <w:rsid w:val="00C9319C"/>
    <w:rsid w:val="00C9435D"/>
    <w:rsid w:val="00C94DF2"/>
    <w:rsid w:val="00C955C4"/>
    <w:rsid w:val="00C96741"/>
    <w:rsid w:val="00CA2D1B"/>
    <w:rsid w:val="00CA375D"/>
    <w:rsid w:val="00CA662A"/>
    <w:rsid w:val="00CA7AFD"/>
    <w:rsid w:val="00CA7C3C"/>
    <w:rsid w:val="00CB0189"/>
    <w:rsid w:val="00CB0BA2"/>
    <w:rsid w:val="00CB180C"/>
    <w:rsid w:val="00CB1A42"/>
    <w:rsid w:val="00CB1B0C"/>
    <w:rsid w:val="00CB2C0B"/>
    <w:rsid w:val="00CB517D"/>
    <w:rsid w:val="00CC038D"/>
    <w:rsid w:val="00CC08DB"/>
    <w:rsid w:val="00CC2D29"/>
    <w:rsid w:val="00CC39FF"/>
    <w:rsid w:val="00CC3C2F"/>
    <w:rsid w:val="00CC4AC8"/>
    <w:rsid w:val="00CC5233"/>
    <w:rsid w:val="00CC5DE6"/>
    <w:rsid w:val="00CC6E4E"/>
    <w:rsid w:val="00CC6FE8"/>
    <w:rsid w:val="00CC7202"/>
    <w:rsid w:val="00CD1CA8"/>
    <w:rsid w:val="00CD1D72"/>
    <w:rsid w:val="00CD2808"/>
    <w:rsid w:val="00CD28BF"/>
    <w:rsid w:val="00CD4092"/>
    <w:rsid w:val="00CD4A20"/>
    <w:rsid w:val="00CD50A1"/>
    <w:rsid w:val="00CD519E"/>
    <w:rsid w:val="00CE0C4F"/>
    <w:rsid w:val="00CE30EA"/>
    <w:rsid w:val="00CF048A"/>
    <w:rsid w:val="00CF155A"/>
    <w:rsid w:val="00CF2947"/>
    <w:rsid w:val="00CF561D"/>
    <w:rsid w:val="00CF686F"/>
    <w:rsid w:val="00CF6CE9"/>
    <w:rsid w:val="00CF6E60"/>
    <w:rsid w:val="00CF7BCA"/>
    <w:rsid w:val="00D008FD"/>
    <w:rsid w:val="00D0321C"/>
    <w:rsid w:val="00D035EC"/>
    <w:rsid w:val="00D06AB1"/>
    <w:rsid w:val="00D06D2E"/>
    <w:rsid w:val="00D06FC1"/>
    <w:rsid w:val="00D072ED"/>
    <w:rsid w:val="00D07A16"/>
    <w:rsid w:val="00D1067E"/>
    <w:rsid w:val="00D10F50"/>
    <w:rsid w:val="00D11272"/>
    <w:rsid w:val="00D11F31"/>
    <w:rsid w:val="00D126F5"/>
    <w:rsid w:val="00D1489E"/>
    <w:rsid w:val="00D179E1"/>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6E82"/>
    <w:rsid w:val="00D4734F"/>
    <w:rsid w:val="00D51BF3"/>
    <w:rsid w:val="00D60276"/>
    <w:rsid w:val="00D6056E"/>
    <w:rsid w:val="00D63668"/>
    <w:rsid w:val="00D64833"/>
    <w:rsid w:val="00D66846"/>
    <w:rsid w:val="00D675FB"/>
    <w:rsid w:val="00D71428"/>
    <w:rsid w:val="00D71F25"/>
    <w:rsid w:val="00D72A9C"/>
    <w:rsid w:val="00D77031"/>
    <w:rsid w:val="00D7768E"/>
    <w:rsid w:val="00D84941"/>
    <w:rsid w:val="00D84FA1"/>
    <w:rsid w:val="00D851F0"/>
    <w:rsid w:val="00D8601A"/>
    <w:rsid w:val="00D86DB7"/>
    <w:rsid w:val="00D87BF5"/>
    <w:rsid w:val="00D90721"/>
    <w:rsid w:val="00D907D1"/>
    <w:rsid w:val="00D926D0"/>
    <w:rsid w:val="00D93030"/>
    <w:rsid w:val="00D950E1"/>
    <w:rsid w:val="00D952A6"/>
    <w:rsid w:val="00D97F99"/>
    <w:rsid w:val="00DA1E08"/>
    <w:rsid w:val="00DA24F8"/>
    <w:rsid w:val="00DA28E8"/>
    <w:rsid w:val="00DA38D3"/>
    <w:rsid w:val="00DA3932"/>
    <w:rsid w:val="00DA3AFC"/>
    <w:rsid w:val="00DA5D29"/>
    <w:rsid w:val="00DA5DB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F14"/>
    <w:rsid w:val="00DD4FE5"/>
    <w:rsid w:val="00DD5268"/>
    <w:rsid w:val="00DD54B0"/>
    <w:rsid w:val="00DD57EE"/>
    <w:rsid w:val="00DD5888"/>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0E8"/>
    <w:rsid w:val="00E2552F"/>
    <w:rsid w:val="00E3137A"/>
    <w:rsid w:val="00E32CCF"/>
    <w:rsid w:val="00E34A98"/>
    <w:rsid w:val="00E35D1E"/>
    <w:rsid w:val="00E364F9"/>
    <w:rsid w:val="00E365FA"/>
    <w:rsid w:val="00E36789"/>
    <w:rsid w:val="00E44A83"/>
    <w:rsid w:val="00E502C1"/>
    <w:rsid w:val="00E502DD"/>
    <w:rsid w:val="00E50AD1"/>
    <w:rsid w:val="00E50D3A"/>
    <w:rsid w:val="00E51387"/>
    <w:rsid w:val="00E51E68"/>
    <w:rsid w:val="00E52EFD"/>
    <w:rsid w:val="00E5408A"/>
    <w:rsid w:val="00E561EA"/>
    <w:rsid w:val="00E56800"/>
    <w:rsid w:val="00E60C63"/>
    <w:rsid w:val="00E62FF9"/>
    <w:rsid w:val="00E635D6"/>
    <w:rsid w:val="00E639BC"/>
    <w:rsid w:val="00E664CC"/>
    <w:rsid w:val="00E70388"/>
    <w:rsid w:val="00E70F92"/>
    <w:rsid w:val="00E74313"/>
    <w:rsid w:val="00E74997"/>
    <w:rsid w:val="00E74C54"/>
    <w:rsid w:val="00E77A03"/>
    <w:rsid w:val="00E822E8"/>
    <w:rsid w:val="00E82554"/>
    <w:rsid w:val="00E82606"/>
    <w:rsid w:val="00E831C1"/>
    <w:rsid w:val="00E846C8"/>
    <w:rsid w:val="00E84957"/>
    <w:rsid w:val="00E84A55"/>
    <w:rsid w:val="00E85BFF"/>
    <w:rsid w:val="00E90391"/>
    <w:rsid w:val="00E906C2"/>
    <w:rsid w:val="00E91CBC"/>
    <w:rsid w:val="00E9311F"/>
    <w:rsid w:val="00E934D1"/>
    <w:rsid w:val="00E94AF0"/>
    <w:rsid w:val="00E9585C"/>
    <w:rsid w:val="00E95D13"/>
    <w:rsid w:val="00E95DD3"/>
    <w:rsid w:val="00E969D5"/>
    <w:rsid w:val="00EA58D1"/>
    <w:rsid w:val="00EA61BC"/>
    <w:rsid w:val="00EA681A"/>
    <w:rsid w:val="00EA6EC1"/>
    <w:rsid w:val="00EA735B"/>
    <w:rsid w:val="00EB17B9"/>
    <w:rsid w:val="00EB1E69"/>
    <w:rsid w:val="00EB2086"/>
    <w:rsid w:val="00EB31ED"/>
    <w:rsid w:val="00EB5EDF"/>
    <w:rsid w:val="00EB60FE"/>
    <w:rsid w:val="00EB74DB"/>
    <w:rsid w:val="00EC03CB"/>
    <w:rsid w:val="00EC5359"/>
    <w:rsid w:val="00EC562A"/>
    <w:rsid w:val="00EC6E5E"/>
    <w:rsid w:val="00ED067A"/>
    <w:rsid w:val="00ED2B50"/>
    <w:rsid w:val="00EE0350"/>
    <w:rsid w:val="00EE0719"/>
    <w:rsid w:val="00EE0E80"/>
    <w:rsid w:val="00EE613F"/>
    <w:rsid w:val="00EE672C"/>
    <w:rsid w:val="00EE6A62"/>
    <w:rsid w:val="00EE7295"/>
    <w:rsid w:val="00EE7869"/>
    <w:rsid w:val="00EF054A"/>
    <w:rsid w:val="00EF3235"/>
    <w:rsid w:val="00EF7E72"/>
    <w:rsid w:val="00F034C0"/>
    <w:rsid w:val="00F06D37"/>
    <w:rsid w:val="00F07B9D"/>
    <w:rsid w:val="00F11586"/>
    <w:rsid w:val="00F1183B"/>
    <w:rsid w:val="00F11C9F"/>
    <w:rsid w:val="00F12263"/>
    <w:rsid w:val="00F1409D"/>
    <w:rsid w:val="00F14214"/>
    <w:rsid w:val="00F14499"/>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31B2"/>
    <w:rsid w:val="00F6412A"/>
    <w:rsid w:val="00F65893"/>
    <w:rsid w:val="00F66A4A"/>
    <w:rsid w:val="00F71E22"/>
    <w:rsid w:val="00F71E61"/>
    <w:rsid w:val="00F72142"/>
    <w:rsid w:val="00F72AE7"/>
    <w:rsid w:val="00F804B9"/>
    <w:rsid w:val="00F833BA"/>
    <w:rsid w:val="00F84FD0"/>
    <w:rsid w:val="00F859A8"/>
    <w:rsid w:val="00F86D87"/>
    <w:rsid w:val="00F9108B"/>
    <w:rsid w:val="00F91349"/>
    <w:rsid w:val="00F93A8A"/>
    <w:rsid w:val="00F95248"/>
    <w:rsid w:val="00F956A5"/>
    <w:rsid w:val="00F956A9"/>
    <w:rsid w:val="00F963ED"/>
    <w:rsid w:val="00F966CF"/>
    <w:rsid w:val="00F96CAE"/>
    <w:rsid w:val="00F97C99"/>
    <w:rsid w:val="00FA662D"/>
    <w:rsid w:val="00FA73B1"/>
    <w:rsid w:val="00FB0CB9"/>
    <w:rsid w:val="00FB231D"/>
    <w:rsid w:val="00FB3F88"/>
    <w:rsid w:val="00FB45F1"/>
    <w:rsid w:val="00FB4A72"/>
    <w:rsid w:val="00FB54E8"/>
    <w:rsid w:val="00FB7054"/>
    <w:rsid w:val="00FC17B7"/>
    <w:rsid w:val="00FC2CB7"/>
    <w:rsid w:val="00FC4090"/>
    <w:rsid w:val="00FC41A1"/>
    <w:rsid w:val="00FC5030"/>
    <w:rsid w:val="00FC55B4"/>
    <w:rsid w:val="00FC55F2"/>
    <w:rsid w:val="00FC7242"/>
    <w:rsid w:val="00FD00E6"/>
    <w:rsid w:val="00FD09A1"/>
    <w:rsid w:val="00FD2A7C"/>
    <w:rsid w:val="00FD50AB"/>
    <w:rsid w:val="00FD59EB"/>
    <w:rsid w:val="00FD7299"/>
    <w:rsid w:val="00FE1FBE"/>
    <w:rsid w:val="00FE3901"/>
    <w:rsid w:val="00FE39D3"/>
    <w:rsid w:val="00FE4BCE"/>
    <w:rsid w:val="00FE54AE"/>
    <w:rsid w:val="00FE576A"/>
    <w:rsid w:val="00FE7E79"/>
    <w:rsid w:val="00FF0F69"/>
    <w:rsid w:val="00FF1EF7"/>
    <w:rsid w:val="00FF3E7D"/>
    <w:rsid w:val="00FF5B99"/>
    <w:rsid w:val="00FF730C"/>
    <w:rsid w:val="00FF73F4"/>
    <w:rsid w:val="00FF7CE4"/>
    <w:rsid w:val="00FF7E39"/>
    <w:rsid w:val="014A6652"/>
    <w:rsid w:val="01952A27"/>
    <w:rsid w:val="02287A18"/>
    <w:rsid w:val="03B3031C"/>
    <w:rsid w:val="04807630"/>
    <w:rsid w:val="04D33A8F"/>
    <w:rsid w:val="06877E64"/>
    <w:rsid w:val="06ED47ED"/>
    <w:rsid w:val="077A5458"/>
    <w:rsid w:val="07D15C84"/>
    <w:rsid w:val="08C265AE"/>
    <w:rsid w:val="093F0583"/>
    <w:rsid w:val="095D6380"/>
    <w:rsid w:val="0AC45DE9"/>
    <w:rsid w:val="0B2F1B9B"/>
    <w:rsid w:val="0B4F151F"/>
    <w:rsid w:val="0B845D5F"/>
    <w:rsid w:val="0B8D6FED"/>
    <w:rsid w:val="0BAB35E5"/>
    <w:rsid w:val="0BC120BC"/>
    <w:rsid w:val="0BD011B0"/>
    <w:rsid w:val="0BD43B9E"/>
    <w:rsid w:val="0C3650C7"/>
    <w:rsid w:val="0C7C6300"/>
    <w:rsid w:val="0CA93C66"/>
    <w:rsid w:val="0CE473B7"/>
    <w:rsid w:val="0D2D19A9"/>
    <w:rsid w:val="0DBE6B1E"/>
    <w:rsid w:val="0E46377B"/>
    <w:rsid w:val="0EB51830"/>
    <w:rsid w:val="0FEC732E"/>
    <w:rsid w:val="10D31CD6"/>
    <w:rsid w:val="111A451D"/>
    <w:rsid w:val="115C6885"/>
    <w:rsid w:val="12893642"/>
    <w:rsid w:val="12DF039A"/>
    <w:rsid w:val="135C279A"/>
    <w:rsid w:val="143D23D7"/>
    <w:rsid w:val="15636126"/>
    <w:rsid w:val="17354C85"/>
    <w:rsid w:val="17583B88"/>
    <w:rsid w:val="177242AD"/>
    <w:rsid w:val="17F263D4"/>
    <w:rsid w:val="182F5668"/>
    <w:rsid w:val="185C0E40"/>
    <w:rsid w:val="191B5A42"/>
    <w:rsid w:val="19315CB2"/>
    <w:rsid w:val="19935AF3"/>
    <w:rsid w:val="1A002C9E"/>
    <w:rsid w:val="1A29794E"/>
    <w:rsid w:val="1C5462A2"/>
    <w:rsid w:val="1CB347A4"/>
    <w:rsid w:val="1D0E163B"/>
    <w:rsid w:val="1E5F2261"/>
    <w:rsid w:val="1F1915D8"/>
    <w:rsid w:val="1FC60BEC"/>
    <w:rsid w:val="20525ABC"/>
    <w:rsid w:val="20DF63A0"/>
    <w:rsid w:val="213F6F4E"/>
    <w:rsid w:val="21ED6B57"/>
    <w:rsid w:val="22E829A1"/>
    <w:rsid w:val="2312327F"/>
    <w:rsid w:val="23462386"/>
    <w:rsid w:val="23EC412E"/>
    <w:rsid w:val="24067A00"/>
    <w:rsid w:val="24104023"/>
    <w:rsid w:val="245A6093"/>
    <w:rsid w:val="254E54E1"/>
    <w:rsid w:val="25CB3C39"/>
    <w:rsid w:val="26AE329E"/>
    <w:rsid w:val="26ED381E"/>
    <w:rsid w:val="278542BB"/>
    <w:rsid w:val="27B76736"/>
    <w:rsid w:val="28282B60"/>
    <w:rsid w:val="2874016E"/>
    <w:rsid w:val="28A05472"/>
    <w:rsid w:val="28D22706"/>
    <w:rsid w:val="291209E2"/>
    <w:rsid w:val="29A86EFA"/>
    <w:rsid w:val="2A706D66"/>
    <w:rsid w:val="2ACD7048"/>
    <w:rsid w:val="2B3247EE"/>
    <w:rsid w:val="2B3B50FE"/>
    <w:rsid w:val="2C5E3F2F"/>
    <w:rsid w:val="2C8770A7"/>
    <w:rsid w:val="2CBB1A53"/>
    <w:rsid w:val="2CD70784"/>
    <w:rsid w:val="2CF20F4C"/>
    <w:rsid w:val="2D7733A3"/>
    <w:rsid w:val="2D9B4C73"/>
    <w:rsid w:val="2E382CD4"/>
    <w:rsid w:val="2E5121F0"/>
    <w:rsid w:val="2EAF5DC3"/>
    <w:rsid w:val="2F217771"/>
    <w:rsid w:val="2F67365F"/>
    <w:rsid w:val="3011436C"/>
    <w:rsid w:val="301754AA"/>
    <w:rsid w:val="307B5F05"/>
    <w:rsid w:val="30D73AE9"/>
    <w:rsid w:val="32474B83"/>
    <w:rsid w:val="328622EF"/>
    <w:rsid w:val="328969D2"/>
    <w:rsid w:val="329E1117"/>
    <w:rsid w:val="33BD7082"/>
    <w:rsid w:val="34573466"/>
    <w:rsid w:val="34C346A0"/>
    <w:rsid w:val="350E78DC"/>
    <w:rsid w:val="35183554"/>
    <w:rsid w:val="359917BF"/>
    <w:rsid w:val="36915B95"/>
    <w:rsid w:val="385E740A"/>
    <w:rsid w:val="389B136C"/>
    <w:rsid w:val="391F68B3"/>
    <w:rsid w:val="3C577F8F"/>
    <w:rsid w:val="3CD36464"/>
    <w:rsid w:val="3D220935"/>
    <w:rsid w:val="3D2E476F"/>
    <w:rsid w:val="3DC60E46"/>
    <w:rsid w:val="3E037B92"/>
    <w:rsid w:val="3EAA504D"/>
    <w:rsid w:val="3F697E60"/>
    <w:rsid w:val="3F970A1D"/>
    <w:rsid w:val="405D28B3"/>
    <w:rsid w:val="4157542D"/>
    <w:rsid w:val="42576378"/>
    <w:rsid w:val="42A20C41"/>
    <w:rsid w:val="42AE05F3"/>
    <w:rsid w:val="42F2712D"/>
    <w:rsid w:val="435A5466"/>
    <w:rsid w:val="43DF028C"/>
    <w:rsid w:val="43DF09F6"/>
    <w:rsid w:val="443303EF"/>
    <w:rsid w:val="443773EC"/>
    <w:rsid w:val="444E330E"/>
    <w:rsid w:val="44A93E90"/>
    <w:rsid w:val="44C81F67"/>
    <w:rsid w:val="452224A8"/>
    <w:rsid w:val="45454DB4"/>
    <w:rsid w:val="455A097F"/>
    <w:rsid w:val="45F4780A"/>
    <w:rsid w:val="460A3EB2"/>
    <w:rsid w:val="46BB40D4"/>
    <w:rsid w:val="472674C8"/>
    <w:rsid w:val="48783B39"/>
    <w:rsid w:val="48E50016"/>
    <w:rsid w:val="498964F6"/>
    <w:rsid w:val="49956188"/>
    <w:rsid w:val="49A62E0C"/>
    <w:rsid w:val="49AC6B74"/>
    <w:rsid w:val="49C60D15"/>
    <w:rsid w:val="49FF02B1"/>
    <w:rsid w:val="4A0177AC"/>
    <w:rsid w:val="4A8610D0"/>
    <w:rsid w:val="4A944BE6"/>
    <w:rsid w:val="4A952667"/>
    <w:rsid w:val="4B1751BF"/>
    <w:rsid w:val="4B602BC3"/>
    <w:rsid w:val="4D232BEC"/>
    <w:rsid w:val="4D8B719F"/>
    <w:rsid w:val="4E345F6C"/>
    <w:rsid w:val="4E785717"/>
    <w:rsid w:val="4F016ACC"/>
    <w:rsid w:val="50463D38"/>
    <w:rsid w:val="508E61B5"/>
    <w:rsid w:val="50C2575D"/>
    <w:rsid w:val="514B01EA"/>
    <w:rsid w:val="5185454F"/>
    <w:rsid w:val="52F37A1F"/>
    <w:rsid w:val="53171462"/>
    <w:rsid w:val="534F7113"/>
    <w:rsid w:val="53ED7019"/>
    <w:rsid w:val="54267F9B"/>
    <w:rsid w:val="54322F8D"/>
    <w:rsid w:val="543F62E4"/>
    <w:rsid w:val="549C661D"/>
    <w:rsid w:val="54DE243E"/>
    <w:rsid w:val="54EF79E3"/>
    <w:rsid w:val="559F6CA6"/>
    <w:rsid w:val="55C36AC2"/>
    <w:rsid w:val="55EC6C5C"/>
    <w:rsid w:val="561220C4"/>
    <w:rsid w:val="56D80605"/>
    <w:rsid w:val="5765363E"/>
    <w:rsid w:val="577568F2"/>
    <w:rsid w:val="57DB7132"/>
    <w:rsid w:val="57FF388F"/>
    <w:rsid w:val="5A835D8B"/>
    <w:rsid w:val="5B1C6338"/>
    <w:rsid w:val="5B39185B"/>
    <w:rsid w:val="5B600A91"/>
    <w:rsid w:val="5BE00CC8"/>
    <w:rsid w:val="5CA92A24"/>
    <w:rsid w:val="5D017424"/>
    <w:rsid w:val="5D0B35B7"/>
    <w:rsid w:val="5D2850E5"/>
    <w:rsid w:val="5F0C04B4"/>
    <w:rsid w:val="5F7A7D14"/>
    <w:rsid w:val="5FD34480"/>
    <w:rsid w:val="601D2FE5"/>
    <w:rsid w:val="60DF1D73"/>
    <w:rsid w:val="612B6FC6"/>
    <w:rsid w:val="620A00FD"/>
    <w:rsid w:val="623D76BC"/>
    <w:rsid w:val="63251BB8"/>
    <w:rsid w:val="639067CA"/>
    <w:rsid w:val="642A5347"/>
    <w:rsid w:val="647F5DD6"/>
    <w:rsid w:val="64A5552C"/>
    <w:rsid w:val="65177DE9"/>
    <w:rsid w:val="65E16A4F"/>
    <w:rsid w:val="660E7E9A"/>
    <w:rsid w:val="67B603CE"/>
    <w:rsid w:val="67D73C7D"/>
    <w:rsid w:val="6A37294F"/>
    <w:rsid w:val="6BDF30F8"/>
    <w:rsid w:val="6C5E6F24"/>
    <w:rsid w:val="6CC30D7F"/>
    <w:rsid w:val="6CDE2176"/>
    <w:rsid w:val="6E3B13E0"/>
    <w:rsid w:val="6E7D35D3"/>
    <w:rsid w:val="6E994B5A"/>
    <w:rsid w:val="6F532332"/>
    <w:rsid w:val="70230C02"/>
    <w:rsid w:val="704D7FCB"/>
    <w:rsid w:val="707A49B3"/>
    <w:rsid w:val="726E34C9"/>
    <w:rsid w:val="72834BA3"/>
    <w:rsid w:val="72943709"/>
    <w:rsid w:val="72C53ED8"/>
    <w:rsid w:val="72C96051"/>
    <w:rsid w:val="730E7DB4"/>
    <w:rsid w:val="735B192C"/>
    <w:rsid w:val="739E7C54"/>
    <w:rsid w:val="73C2417B"/>
    <w:rsid w:val="742566A7"/>
    <w:rsid w:val="74FF6931"/>
    <w:rsid w:val="75A46D45"/>
    <w:rsid w:val="75AA1FF1"/>
    <w:rsid w:val="75C31342"/>
    <w:rsid w:val="780D49A8"/>
    <w:rsid w:val="78F60F72"/>
    <w:rsid w:val="7A417C71"/>
    <w:rsid w:val="7C46151E"/>
    <w:rsid w:val="7CA7288F"/>
    <w:rsid w:val="7CF84C17"/>
    <w:rsid w:val="7DBB18AA"/>
    <w:rsid w:val="7E8407B2"/>
    <w:rsid w:val="7F3818C3"/>
    <w:rsid w:val="7F951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9CC4EB"/>
  <w15:docId w15:val="{8951E584-06BB-4FE1-B9A2-0A30851B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2">
    <w:name w:val="Normal"/>
    <w:next w:val="aff3"/>
    <w:qFormat/>
    <w:pPr>
      <w:widowControl w:val="0"/>
      <w:adjustRightInd w:val="0"/>
      <w:spacing w:line="400" w:lineRule="exact"/>
      <w:jc w:val="both"/>
    </w:pPr>
    <w:rPr>
      <w:rFonts w:ascii="Calibri" w:hAnsi="Calibri"/>
      <w:kern w:val="2"/>
      <w:sz w:val="21"/>
      <w:szCs w:val="21"/>
    </w:rPr>
  </w:style>
  <w:style w:type="paragraph" w:styleId="1">
    <w:name w:val="heading 1"/>
    <w:basedOn w:val="aff2"/>
    <w:next w:val="aff2"/>
    <w:link w:val="10"/>
    <w:qFormat/>
    <w:pPr>
      <w:keepNext/>
      <w:keepLines/>
      <w:spacing w:before="340" w:after="330" w:line="578" w:lineRule="auto"/>
      <w:outlineLvl w:val="0"/>
    </w:pPr>
    <w:rPr>
      <w:b/>
      <w:bCs/>
      <w:kern w:val="44"/>
      <w:sz w:val="44"/>
      <w:szCs w:val="44"/>
    </w:rPr>
  </w:style>
  <w:style w:type="paragraph" w:styleId="22">
    <w:name w:val="heading 2"/>
    <w:basedOn w:val="aff2"/>
    <w:next w:val="aff2"/>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2"/>
    <w:next w:val="aff2"/>
    <w:link w:val="30"/>
    <w:qFormat/>
    <w:pPr>
      <w:keepNext/>
      <w:keepLines/>
      <w:spacing w:before="260" w:after="260" w:line="416" w:lineRule="auto"/>
      <w:outlineLvl w:val="2"/>
    </w:pPr>
    <w:rPr>
      <w:b/>
      <w:bCs/>
      <w:sz w:val="32"/>
      <w:szCs w:val="32"/>
    </w:rPr>
  </w:style>
  <w:style w:type="paragraph" w:styleId="4">
    <w:name w:val="heading 4"/>
    <w:basedOn w:val="aff2"/>
    <w:next w:val="aff2"/>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2"/>
    <w:next w:val="aff2"/>
    <w:link w:val="50"/>
    <w:qFormat/>
    <w:pPr>
      <w:keepNext/>
      <w:keepLines/>
      <w:adjustRightInd/>
      <w:spacing w:before="280" w:after="290" w:line="376" w:lineRule="auto"/>
      <w:outlineLvl w:val="4"/>
    </w:pPr>
    <w:rPr>
      <w:b/>
      <w:bCs/>
      <w:sz w:val="28"/>
      <w:szCs w:val="28"/>
    </w:rPr>
  </w:style>
  <w:style w:type="paragraph" w:styleId="6">
    <w:name w:val="heading 6"/>
    <w:basedOn w:val="aff2"/>
    <w:next w:val="aff2"/>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2"/>
    <w:next w:val="aff2"/>
    <w:link w:val="70"/>
    <w:qFormat/>
    <w:pPr>
      <w:keepNext/>
      <w:keepLines/>
      <w:adjustRightInd/>
      <w:spacing w:before="240" w:after="64" w:line="320" w:lineRule="auto"/>
      <w:outlineLvl w:val="6"/>
    </w:pPr>
    <w:rPr>
      <w:b/>
      <w:bCs/>
      <w:sz w:val="24"/>
      <w:szCs w:val="24"/>
    </w:rPr>
  </w:style>
  <w:style w:type="paragraph" w:styleId="8">
    <w:name w:val="heading 8"/>
    <w:basedOn w:val="aff2"/>
    <w:next w:val="aff2"/>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2"/>
    <w:next w:val="aff2"/>
    <w:link w:val="90"/>
    <w:qFormat/>
    <w:pPr>
      <w:keepNext/>
      <w:keepLines/>
      <w:adjustRightInd/>
      <w:spacing w:before="240" w:after="64" w:line="320" w:lineRule="auto"/>
      <w:outlineLvl w:val="8"/>
    </w:pPr>
    <w:rPr>
      <w:rFonts w:ascii="Arial" w:eastAsia="黑体" w:hAnsi="Arial"/>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customStyle="1" w:styleId="aff3">
    <w:name w:val="段"/>
    <w:next w:val="aff2"/>
    <w:link w:val="Char"/>
    <w:qFormat/>
    <w:pPr>
      <w:tabs>
        <w:tab w:val="center" w:pos="4201"/>
        <w:tab w:val="right" w:leader="dot" w:pos="9298"/>
      </w:tabs>
      <w:autoSpaceDE w:val="0"/>
      <w:autoSpaceDN w:val="0"/>
      <w:ind w:firstLineChars="200" w:firstLine="420"/>
      <w:jc w:val="both"/>
    </w:pPr>
    <w:rPr>
      <w:rFonts w:ascii="宋体"/>
      <w:sz w:val="21"/>
    </w:rPr>
  </w:style>
  <w:style w:type="paragraph" w:styleId="TOC7">
    <w:name w:val="toc 7"/>
    <w:basedOn w:val="aff2"/>
    <w:next w:val="aff2"/>
    <w:uiPriority w:val="39"/>
    <w:unhideWhenUsed/>
    <w:qFormat/>
    <w:pPr>
      <w:tabs>
        <w:tab w:val="right" w:leader="dot" w:pos="9344"/>
      </w:tabs>
      <w:spacing w:line="300" w:lineRule="exact"/>
      <w:ind w:left="1259"/>
    </w:pPr>
    <w:rPr>
      <w:rFonts w:ascii="宋体"/>
    </w:rPr>
  </w:style>
  <w:style w:type="paragraph" w:styleId="aff7">
    <w:name w:val="Normal Indent"/>
    <w:basedOn w:val="aff2"/>
    <w:qFormat/>
    <w:pPr>
      <w:ind w:firstLine="420"/>
    </w:pPr>
  </w:style>
  <w:style w:type="paragraph" w:styleId="aff8">
    <w:name w:val="Body Text"/>
    <w:basedOn w:val="aff2"/>
    <w:link w:val="aff9"/>
    <w:qFormat/>
    <w:pPr>
      <w:spacing w:after="120"/>
    </w:pPr>
  </w:style>
  <w:style w:type="paragraph" w:styleId="TOC5">
    <w:name w:val="toc 5"/>
    <w:basedOn w:val="aff2"/>
    <w:next w:val="aff2"/>
    <w:uiPriority w:val="39"/>
    <w:unhideWhenUsed/>
    <w:qFormat/>
    <w:pPr>
      <w:ind w:left="839"/>
    </w:pPr>
    <w:rPr>
      <w:rFonts w:ascii="宋体"/>
    </w:rPr>
  </w:style>
  <w:style w:type="paragraph" w:styleId="TOC3">
    <w:name w:val="toc 3"/>
    <w:basedOn w:val="aff2"/>
    <w:next w:val="aff2"/>
    <w:uiPriority w:val="39"/>
    <w:unhideWhenUsed/>
    <w:qFormat/>
    <w:pPr>
      <w:spacing w:line="300" w:lineRule="exact"/>
      <w:ind w:left="420"/>
    </w:pPr>
    <w:rPr>
      <w:rFonts w:ascii="宋体"/>
    </w:rPr>
  </w:style>
  <w:style w:type="paragraph" w:styleId="affa">
    <w:name w:val="Plain Text"/>
    <w:basedOn w:val="aff2"/>
    <w:link w:val="affb"/>
    <w:qFormat/>
    <w:pPr>
      <w:adjustRightInd/>
      <w:spacing w:line="240" w:lineRule="auto"/>
    </w:pPr>
    <w:rPr>
      <w:rFonts w:ascii="宋体" w:hAnsi="Courier New" w:cs="Courier New"/>
    </w:rPr>
  </w:style>
  <w:style w:type="paragraph" w:styleId="affc">
    <w:name w:val="Balloon Text"/>
    <w:basedOn w:val="aff2"/>
    <w:link w:val="affd"/>
    <w:uiPriority w:val="99"/>
    <w:semiHidden/>
    <w:unhideWhenUsed/>
    <w:qFormat/>
    <w:rPr>
      <w:sz w:val="18"/>
      <w:szCs w:val="18"/>
    </w:rPr>
  </w:style>
  <w:style w:type="paragraph" w:styleId="affe">
    <w:name w:val="footer"/>
    <w:basedOn w:val="aff2"/>
    <w:link w:val="afff"/>
    <w:uiPriority w:val="99"/>
    <w:qFormat/>
    <w:pPr>
      <w:tabs>
        <w:tab w:val="center" w:pos="4153"/>
        <w:tab w:val="right" w:pos="8306"/>
      </w:tabs>
      <w:adjustRightInd/>
      <w:snapToGrid w:val="0"/>
      <w:spacing w:line="240" w:lineRule="auto"/>
      <w:jc w:val="right"/>
    </w:pPr>
    <w:rPr>
      <w:rFonts w:ascii="宋体"/>
      <w:sz w:val="18"/>
      <w:szCs w:val="18"/>
    </w:rPr>
  </w:style>
  <w:style w:type="paragraph" w:styleId="afff0">
    <w:name w:val="header"/>
    <w:basedOn w:val="aff2"/>
    <w:link w:val="afff1"/>
    <w:uiPriority w:val="99"/>
    <w:qFormat/>
    <w:pPr>
      <w:tabs>
        <w:tab w:val="center" w:pos="4153"/>
        <w:tab w:val="right" w:pos="8306"/>
      </w:tabs>
      <w:adjustRightInd/>
      <w:snapToGrid w:val="0"/>
      <w:jc w:val="center"/>
    </w:pPr>
    <w:rPr>
      <w:sz w:val="18"/>
      <w:szCs w:val="18"/>
    </w:rPr>
  </w:style>
  <w:style w:type="paragraph" w:styleId="TOC1">
    <w:name w:val="toc 1"/>
    <w:basedOn w:val="aff2"/>
    <w:next w:val="aff2"/>
    <w:uiPriority w:val="39"/>
    <w:unhideWhenUsed/>
    <w:qFormat/>
    <w:rPr>
      <w:rFonts w:ascii="宋体"/>
    </w:rPr>
  </w:style>
  <w:style w:type="paragraph" w:styleId="TOC4">
    <w:name w:val="toc 4"/>
    <w:basedOn w:val="aff2"/>
    <w:next w:val="aff2"/>
    <w:uiPriority w:val="39"/>
    <w:unhideWhenUsed/>
    <w:qFormat/>
    <w:pPr>
      <w:tabs>
        <w:tab w:val="right" w:leader="dot" w:pos="9344"/>
      </w:tabs>
      <w:spacing w:line="300" w:lineRule="exact"/>
      <w:ind w:left="629"/>
    </w:pPr>
    <w:rPr>
      <w:rFonts w:ascii="宋体"/>
    </w:rPr>
  </w:style>
  <w:style w:type="paragraph" w:styleId="afff2">
    <w:name w:val="footnote text"/>
    <w:basedOn w:val="aff2"/>
    <w:next w:val="aff2"/>
    <w:link w:val="a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2"/>
    <w:next w:val="aff2"/>
    <w:uiPriority w:val="39"/>
    <w:unhideWhenUsed/>
    <w:qFormat/>
    <w:pPr>
      <w:spacing w:line="300" w:lineRule="exact"/>
      <w:ind w:left="1049"/>
    </w:pPr>
    <w:rPr>
      <w:rFonts w:ascii="宋体"/>
    </w:rPr>
  </w:style>
  <w:style w:type="paragraph" w:styleId="afff4">
    <w:name w:val="table of figures"/>
    <w:basedOn w:val="aff2"/>
    <w:next w:val="aff2"/>
    <w:semiHidden/>
    <w:qFormat/>
    <w:pPr>
      <w:adjustRightInd/>
      <w:spacing w:line="240" w:lineRule="auto"/>
      <w:jc w:val="left"/>
    </w:pPr>
    <w:rPr>
      <w:szCs w:val="24"/>
    </w:rPr>
  </w:style>
  <w:style w:type="paragraph" w:styleId="TOC2">
    <w:name w:val="toc 2"/>
    <w:basedOn w:val="aff2"/>
    <w:next w:val="aff2"/>
    <w:uiPriority w:val="39"/>
    <w:unhideWhenUsed/>
    <w:qFormat/>
    <w:pPr>
      <w:tabs>
        <w:tab w:val="right" w:leader="dot" w:pos="9344"/>
      </w:tabs>
      <w:spacing w:line="300" w:lineRule="exact"/>
      <w:ind w:left="210"/>
    </w:pPr>
    <w:rPr>
      <w:rFonts w:ascii="宋体"/>
    </w:rPr>
  </w:style>
  <w:style w:type="paragraph" w:styleId="afff5">
    <w:name w:val="Normal (Web)"/>
    <w:basedOn w:val="aff2"/>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6">
    <w:name w:val="Title"/>
    <w:basedOn w:val="aff2"/>
    <w:link w:val="afff7"/>
    <w:qFormat/>
    <w:pPr>
      <w:spacing w:before="240" w:after="60"/>
      <w:jc w:val="center"/>
      <w:outlineLvl w:val="0"/>
    </w:pPr>
    <w:rPr>
      <w:rFonts w:ascii="Arial" w:hAnsi="Arial" w:cs="Arial"/>
      <w:b/>
      <w:bCs/>
      <w:sz w:val="32"/>
      <w:szCs w:val="32"/>
    </w:rPr>
  </w:style>
  <w:style w:type="table" w:styleId="afff8">
    <w:name w:val="Table Grid"/>
    <w:basedOn w:val="aff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uiPriority w:val="22"/>
    <w:qFormat/>
    <w:rPr>
      <w:b/>
      <w:bCs/>
    </w:rPr>
  </w:style>
  <w:style w:type="character" w:styleId="afffa">
    <w:name w:val="page number"/>
    <w:qFormat/>
    <w:rPr>
      <w:rFonts w:ascii="宋体" w:eastAsia="宋体" w:hAnsi="Times New Roman"/>
      <w:sz w:val="18"/>
    </w:rPr>
  </w:style>
  <w:style w:type="character" w:styleId="afffb">
    <w:name w:val="Emphasis"/>
    <w:uiPriority w:val="20"/>
    <w:qFormat/>
    <w:rPr>
      <w:i/>
      <w:iCs/>
    </w:rPr>
  </w:style>
  <w:style w:type="character" w:styleId="afffc">
    <w:name w:val="Hyperlink"/>
    <w:uiPriority w:val="99"/>
    <w:qFormat/>
    <w:rPr>
      <w:rFonts w:ascii="宋体" w:eastAsia="宋体" w:hAnsi="Times New Roman"/>
      <w:color w:val="auto"/>
      <w:spacing w:val="0"/>
      <w:w w:val="100"/>
      <w:position w:val="0"/>
      <w:sz w:val="21"/>
      <w:u w:val="none"/>
      <w:vertAlign w:val="baseline"/>
    </w:rPr>
  </w:style>
  <w:style w:type="character" w:styleId="a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1">
    <w:name w:val="页眉 字符"/>
    <w:link w:val="afff0"/>
    <w:uiPriority w:val="99"/>
    <w:qFormat/>
    <w:rPr>
      <w:kern w:val="2"/>
      <w:sz w:val="18"/>
      <w:szCs w:val="18"/>
    </w:rPr>
  </w:style>
  <w:style w:type="character" w:customStyle="1" w:styleId="afff">
    <w:name w:val="页脚 字符"/>
    <w:link w:val="affe"/>
    <w:uiPriority w:val="99"/>
    <w:qFormat/>
    <w:rPr>
      <w:rFonts w:ascii="宋体"/>
      <w:kern w:val="2"/>
      <w:sz w:val="18"/>
      <w:szCs w:val="18"/>
    </w:rPr>
  </w:style>
  <w:style w:type="character" w:customStyle="1" w:styleId="affd">
    <w:name w:val="批注框文本 字符"/>
    <w:link w:val="affc"/>
    <w:uiPriority w:val="99"/>
    <w:semiHidden/>
    <w:qFormat/>
    <w:rPr>
      <w:kern w:val="2"/>
      <w:sz w:val="18"/>
      <w:szCs w:val="18"/>
    </w:rPr>
  </w:style>
  <w:style w:type="paragraph" w:styleId="afffe">
    <w:name w:val="Quote"/>
    <w:basedOn w:val="aff2"/>
    <w:next w:val="aff2"/>
    <w:link w:val="affff"/>
    <w:uiPriority w:val="29"/>
    <w:qFormat/>
    <w:rPr>
      <w:i/>
      <w:iCs/>
      <w:color w:val="000000"/>
    </w:rPr>
  </w:style>
  <w:style w:type="character" w:customStyle="1" w:styleId="affff">
    <w:name w:val="引用 字符"/>
    <w:link w:val="afffe"/>
    <w:uiPriority w:val="29"/>
    <w:qFormat/>
    <w:rPr>
      <w:i/>
      <w:iCs/>
      <w:color w:val="000000"/>
      <w:kern w:val="2"/>
      <w:sz w:val="21"/>
      <w:szCs w:val="21"/>
    </w:rPr>
  </w:style>
  <w:style w:type="character" w:customStyle="1" w:styleId="afff7">
    <w:name w:val="标题 字符"/>
    <w:link w:val="afff6"/>
    <w:qFormat/>
    <w:rPr>
      <w:rFonts w:ascii="Arial" w:hAnsi="Arial" w:cs="Arial"/>
      <w:b/>
      <w:bCs/>
      <w:kern w:val="2"/>
      <w:sz w:val="32"/>
      <w:szCs w:val="32"/>
    </w:rPr>
  </w:style>
  <w:style w:type="paragraph" w:customStyle="1" w:styleId="affff0">
    <w:name w:val="标准标志"/>
    <w:next w:val="aff2"/>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1">
    <w:name w:val="标准称谓"/>
    <w:next w:val="aff2"/>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2">
    <w:name w:val="标准文件_页脚偶数页"/>
    <w:qFormat/>
    <w:pPr>
      <w:ind w:left="198"/>
    </w:pPr>
    <w:rPr>
      <w:rFonts w:ascii="宋体"/>
      <w:sz w:val="18"/>
    </w:rPr>
  </w:style>
  <w:style w:type="paragraph" w:customStyle="1" w:styleId="affff3">
    <w:name w:val="标准文件_页脚奇数页"/>
    <w:qFormat/>
    <w:pPr>
      <w:ind w:right="227"/>
      <w:jc w:val="right"/>
    </w:pPr>
    <w:rPr>
      <w:rFonts w:ascii="宋体"/>
      <w:sz w:val="18"/>
    </w:rPr>
  </w:style>
  <w:style w:type="paragraph" w:customStyle="1" w:styleId="affff4">
    <w:name w:val="标准书眉一"/>
    <w:qFormat/>
    <w:pPr>
      <w:jc w:val="both"/>
    </w:pPr>
  </w:style>
  <w:style w:type="paragraph" w:customStyle="1" w:styleId="ICS">
    <w:name w:val="标准文件_ICS"/>
    <w:basedOn w:val="aff2"/>
    <w:qFormat/>
    <w:pPr>
      <w:spacing w:line="0" w:lineRule="atLeast"/>
    </w:pPr>
    <w:rPr>
      <w:rFonts w:ascii="黑体" w:eastAsia="黑体" w:hAnsi="宋体"/>
    </w:rPr>
  </w:style>
  <w:style w:type="paragraph" w:customStyle="1" w:styleId="affff5">
    <w:name w:val="标准文件_标准正文"/>
    <w:basedOn w:val="aff2"/>
    <w:next w:val="affff6"/>
    <w:qFormat/>
    <w:pPr>
      <w:snapToGrid w:val="0"/>
      <w:ind w:firstLineChars="200" w:firstLine="200"/>
    </w:pPr>
    <w:rPr>
      <w:kern w:val="0"/>
    </w:rPr>
  </w:style>
  <w:style w:type="paragraph" w:customStyle="1" w:styleId="affff6">
    <w:name w:val="标准文件_段"/>
    <w:link w:val="Char0"/>
    <w:qFormat/>
    <w:pPr>
      <w:autoSpaceDE w:val="0"/>
      <w:autoSpaceDN w:val="0"/>
      <w:ind w:firstLineChars="200" w:firstLine="200"/>
      <w:jc w:val="both"/>
    </w:pPr>
    <w:rPr>
      <w:rFonts w:ascii="宋体"/>
      <w:sz w:val="21"/>
    </w:rPr>
  </w:style>
  <w:style w:type="paragraph" w:customStyle="1" w:styleId="affff7">
    <w:name w:val="标准文件_版本"/>
    <w:basedOn w:val="affff5"/>
    <w:qFormat/>
    <w:pPr>
      <w:adjustRightInd/>
      <w:snapToGrid/>
      <w:ind w:firstLineChars="0" w:firstLine="0"/>
    </w:pPr>
    <w:rPr>
      <w:rFonts w:ascii="宋体" w:hAnsi="宋体"/>
      <w:kern w:val="2"/>
    </w:rPr>
  </w:style>
  <w:style w:type="paragraph" w:customStyle="1" w:styleId="affff8">
    <w:name w:val="标准文件_标准部门"/>
    <w:basedOn w:val="aff2"/>
    <w:qFormat/>
    <w:pPr>
      <w:jc w:val="center"/>
    </w:pPr>
    <w:rPr>
      <w:rFonts w:ascii="黑体" w:eastAsia="黑体"/>
      <w:kern w:val="0"/>
      <w:sz w:val="44"/>
    </w:rPr>
  </w:style>
  <w:style w:type="paragraph" w:customStyle="1" w:styleId="affff9">
    <w:name w:val="标准文件_标准代替"/>
    <w:basedOn w:val="aff2"/>
    <w:next w:val="aff2"/>
    <w:qFormat/>
    <w:pPr>
      <w:spacing w:line="310" w:lineRule="exact"/>
      <w:jc w:val="right"/>
    </w:pPr>
    <w:rPr>
      <w:rFonts w:ascii="宋体" w:hAnsi="宋体"/>
      <w:kern w:val="0"/>
    </w:rPr>
  </w:style>
  <w:style w:type="paragraph" w:customStyle="1" w:styleId="affffa">
    <w:name w:val="标准文件_标准名称标题"/>
    <w:basedOn w:val="aff2"/>
    <w:next w:val="aff2"/>
    <w:qFormat/>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2"/>
    <w:qFormat/>
    <w:pPr>
      <w:tabs>
        <w:tab w:val="center" w:pos="4154"/>
        <w:tab w:val="right" w:pos="8306"/>
      </w:tabs>
      <w:spacing w:after="120"/>
      <w:jc w:val="right"/>
    </w:pPr>
    <w:rPr>
      <w:rFonts w:ascii="黑体" w:eastAsia="黑体" w:hAnsi="宋体"/>
      <w:sz w:val="21"/>
    </w:rPr>
  </w:style>
  <w:style w:type="paragraph" w:customStyle="1" w:styleId="affffc">
    <w:name w:val="标准文件_页眉偶数页"/>
    <w:basedOn w:val="affffb"/>
    <w:next w:val="aff2"/>
    <w:qFormat/>
    <w:pPr>
      <w:jc w:val="left"/>
    </w:pPr>
  </w:style>
  <w:style w:type="paragraph" w:customStyle="1" w:styleId="affffd">
    <w:name w:val="标准文件_参考文献标题"/>
    <w:basedOn w:val="aff2"/>
    <w:next w:val="aff2"/>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fe">
    <w:name w:val="标准文件_二级条标题"/>
    <w:next w:val="affff6"/>
    <w:qFormat/>
    <w:pPr>
      <w:widowControl w:val="0"/>
      <w:spacing w:beforeLines="50" w:before="50" w:afterLines="50" w:after="50"/>
      <w:jc w:val="both"/>
      <w:outlineLvl w:val="2"/>
    </w:pPr>
    <w:rPr>
      <w:rFonts w:ascii="黑体" w:eastAsia="黑体"/>
      <w:sz w:val="21"/>
    </w:rPr>
  </w:style>
  <w:style w:type="character" w:customStyle="1" w:styleId="afffff">
    <w:name w:val="标准文件_发布"/>
    <w:qFormat/>
    <w:rPr>
      <w:rFonts w:ascii="黑体" w:eastAsia="黑体"/>
      <w:spacing w:val="0"/>
      <w:w w:val="100"/>
      <w:position w:val="3"/>
      <w:sz w:val="28"/>
    </w:rPr>
  </w:style>
  <w:style w:type="paragraph" w:customStyle="1" w:styleId="a7">
    <w:name w:val="标准文件_方框数字列项"/>
    <w:basedOn w:val="affff6"/>
    <w:qFormat/>
    <w:pPr>
      <w:numPr>
        <w:numId w:val="2"/>
      </w:numPr>
      <w:ind w:firstLineChars="0" w:firstLine="0"/>
    </w:pPr>
  </w:style>
  <w:style w:type="paragraph" w:customStyle="1" w:styleId="afffff0">
    <w:name w:val="标准文件_封面标准编号"/>
    <w:basedOn w:val="aff2"/>
    <w:next w:val="affff9"/>
    <w:qFormat/>
    <w:pPr>
      <w:spacing w:line="310" w:lineRule="exact"/>
      <w:jc w:val="right"/>
    </w:pPr>
    <w:rPr>
      <w:rFonts w:ascii="黑体" w:eastAsia="黑体"/>
      <w:kern w:val="0"/>
      <w:sz w:val="28"/>
    </w:rPr>
  </w:style>
  <w:style w:type="paragraph" w:customStyle="1" w:styleId="afffff1">
    <w:name w:val="标准文件_封面标准分类号"/>
    <w:basedOn w:val="aff2"/>
    <w:qFormat/>
    <w:rPr>
      <w:rFonts w:ascii="黑体" w:eastAsia="黑体"/>
      <w:b/>
      <w:kern w:val="0"/>
      <w:sz w:val="28"/>
    </w:rPr>
  </w:style>
  <w:style w:type="paragraph" w:customStyle="1" w:styleId="afffff2">
    <w:name w:val="标准文件_封面标准名称"/>
    <w:basedOn w:val="aff2"/>
    <w:qFormat/>
    <w:pPr>
      <w:spacing w:line="240" w:lineRule="auto"/>
      <w:jc w:val="center"/>
    </w:pPr>
    <w:rPr>
      <w:rFonts w:ascii="黑体" w:eastAsia="黑体"/>
      <w:kern w:val="0"/>
      <w:sz w:val="52"/>
    </w:rPr>
  </w:style>
  <w:style w:type="paragraph" w:customStyle="1" w:styleId="afffff3">
    <w:name w:val="标准文件_封面标准英文名称"/>
    <w:basedOn w:val="aff2"/>
    <w:qFormat/>
    <w:pPr>
      <w:spacing w:line="240" w:lineRule="auto"/>
      <w:jc w:val="center"/>
    </w:pPr>
    <w:rPr>
      <w:rFonts w:ascii="黑体" w:eastAsia="黑体"/>
      <w:b/>
      <w:sz w:val="28"/>
    </w:rPr>
  </w:style>
  <w:style w:type="paragraph" w:customStyle="1" w:styleId="afffff4">
    <w:name w:val="标准文件_封面发布日期"/>
    <w:basedOn w:val="aff2"/>
    <w:qFormat/>
    <w:pPr>
      <w:spacing w:line="310" w:lineRule="exact"/>
    </w:pPr>
    <w:rPr>
      <w:rFonts w:ascii="黑体" w:eastAsia="黑体"/>
      <w:kern w:val="0"/>
      <w:sz w:val="28"/>
    </w:rPr>
  </w:style>
  <w:style w:type="paragraph" w:customStyle="1" w:styleId="afffff5">
    <w:name w:val="标准文件_封面密级"/>
    <w:basedOn w:val="aff2"/>
    <w:qFormat/>
    <w:rPr>
      <w:rFonts w:eastAsia="黑体"/>
      <w:sz w:val="32"/>
    </w:rPr>
  </w:style>
  <w:style w:type="paragraph" w:customStyle="1" w:styleId="afffff6">
    <w:name w:val="标准文件_封面实施日期"/>
    <w:basedOn w:val="aff2"/>
    <w:qFormat/>
    <w:pPr>
      <w:spacing w:line="310" w:lineRule="exact"/>
      <w:jc w:val="right"/>
    </w:pPr>
    <w:rPr>
      <w:rFonts w:ascii="黑体" w:eastAsia="黑体"/>
      <w:sz w:val="28"/>
    </w:rPr>
  </w:style>
  <w:style w:type="paragraph" w:customStyle="1" w:styleId="afffff7">
    <w:name w:val="标准文件_封面抬头"/>
    <w:basedOn w:val="affff6"/>
    <w:qFormat/>
    <w:pPr>
      <w:adjustRightInd w:val="0"/>
      <w:spacing w:line="800" w:lineRule="exact"/>
      <w:ind w:firstLineChars="0" w:firstLine="0"/>
      <w:jc w:val="distribute"/>
    </w:pPr>
    <w:rPr>
      <w:rFonts w:ascii="黑体" w:eastAsia="黑体"/>
      <w:b/>
      <w:sz w:val="64"/>
    </w:rPr>
  </w:style>
  <w:style w:type="paragraph" w:customStyle="1" w:styleId="afffff8">
    <w:name w:val="标准文件_附录标识"/>
    <w:next w:val="affff6"/>
    <w:qFormat/>
    <w:pPr>
      <w:shd w:val="clear" w:color="FFFFFF" w:fill="FFFFFF"/>
      <w:tabs>
        <w:tab w:val="left" w:pos="6406"/>
      </w:tabs>
      <w:spacing w:before="560" w:afterLines="50" w:after="50"/>
      <w:jc w:val="center"/>
      <w:outlineLvl w:val="0"/>
    </w:pPr>
    <w:rPr>
      <w:rFonts w:ascii="黑体" w:eastAsia="黑体"/>
      <w:sz w:val="21"/>
    </w:rPr>
  </w:style>
  <w:style w:type="paragraph" w:customStyle="1" w:styleId="af9">
    <w:name w:val="标准文件_附录表标题"/>
    <w:next w:val="affff6"/>
    <w:qFormat/>
    <w:pPr>
      <w:numPr>
        <w:ilvl w:val="1"/>
        <w:numId w:val="3"/>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9">
    <w:name w:val="标准文件_附录一级条标题"/>
    <w:next w:val="affff6"/>
    <w:qFormat/>
    <w:pPr>
      <w:widowControl w:val="0"/>
      <w:spacing w:beforeLines="50" w:before="50" w:afterLines="50" w:after="50"/>
      <w:jc w:val="both"/>
      <w:outlineLvl w:val="2"/>
    </w:pPr>
    <w:rPr>
      <w:rFonts w:ascii="黑体" w:eastAsia="黑体"/>
      <w:kern w:val="21"/>
      <w:sz w:val="21"/>
    </w:rPr>
  </w:style>
  <w:style w:type="paragraph" w:customStyle="1" w:styleId="afffffa">
    <w:name w:val="标准文件_附录二级条标题"/>
    <w:basedOn w:val="afffff9"/>
    <w:next w:val="affff6"/>
    <w:qFormat/>
    <w:pPr>
      <w:widowControl/>
      <w:wordWrap w:val="0"/>
      <w:overflowPunct w:val="0"/>
      <w:autoSpaceDE w:val="0"/>
      <w:autoSpaceDN w:val="0"/>
      <w:textAlignment w:val="baseline"/>
      <w:outlineLvl w:val="3"/>
    </w:pPr>
  </w:style>
  <w:style w:type="paragraph" w:customStyle="1" w:styleId="afffffb">
    <w:name w:val="标准文件_附录公式"/>
    <w:basedOn w:val="affff5"/>
    <w:next w:val="affff5"/>
    <w:qFormat/>
    <w:pPr>
      <w:tabs>
        <w:tab w:val="center" w:pos="4678"/>
        <w:tab w:val="right" w:leader="middleDot" w:pos="9356"/>
      </w:tabs>
      <w:spacing w:line="240" w:lineRule="auto"/>
      <w:ind w:right="-51" w:firstLineChars="0" w:firstLine="0"/>
    </w:pPr>
    <w:rPr>
      <w:rFonts w:ascii="宋体" w:hAnsi="宋体"/>
    </w:rPr>
  </w:style>
  <w:style w:type="paragraph" w:customStyle="1" w:styleId="afffffc">
    <w:name w:val="标准文件_附录三级条标题"/>
    <w:next w:val="affff6"/>
    <w:qFormat/>
    <w:pPr>
      <w:widowControl w:val="0"/>
      <w:spacing w:beforeLines="50" w:before="50" w:afterLines="50" w:after="50"/>
      <w:jc w:val="both"/>
      <w:outlineLvl w:val="4"/>
    </w:pPr>
    <w:rPr>
      <w:rFonts w:ascii="黑体" w:eastAsia="黑体"/>
      <w:kern w:val="21"/>
      <w:sz w:val="21"/>
    </w:rPr>
  </w:style>
  <w:style w:type="paragraph" w:customStyle="1" w:styleId="afffffd">
    <w:name w:val="标准文件_附录四级条标题"/>
    <w:next w:val="affff6"/>
    <w:qFormat/>
    <w:pPr>
      <w:widowControl w:val="0"/>
      <w:spacing w:beforeLines="50" w:before="50" w:afterLines="50" w:after="50"/>
      <w:jc w:val="both"/>
      <w:outlineLvl w:val="5"/>
    </w:pPr>
    <w:rPr>
      <w:rFonts w:ascii="黑体" w:eastAsia="黑体"/>
      <w:kern w:val="21"/>
      <w:sz w:val="21"/>
    </w:rPr>
  </w:style>
  <w:style w:type="paragraph" w:customStyle="1" w:styleId="af3">
    <w:name w:val="标准文件_附录图标题"/>
    <w:next w:val="affff6"/>
    <w:qFormat/>
    <w:pPr>
      <w:numPr>
        <w:ilvl w:val="1"/>
        <w:numId w:val="4"/>
      </w:numPr>
      <w:adjustRightInd w:val="0"/>
      <w:snapToGrid w:val="0"/>
      <w:spacing w:beforeLines="50" w:before="50" w:afterLines="50" w:after="50"/>
      <w:jc w:val="center"/>
    </w:pPr>
    <w:rPr>
      <w:rFonts w:ascii="黑体" w:eastAsia="黑体"/>
      <w:sz w:val="21"/>
    </w:rPr>
  </w:style>
  <w:style w:type="paragraph" w:customStyle="1" w:styleId="afffffe">
    <w:name w:val="标准文件_附录五级条标题"/>
    <w:next w:val="affff6"/>
    <w:qFormat/>
    <w:pPr>
      <w:widowControl w:val="0"/>
      <w:spacing w:beforeLines="50" w:before="50" w:afterLines="50" w:after="50"/>
      <w:jc w:val="both"/>
      <w:outlineLvl w:val="6"/>
    </w:pPr>
    <w:rPr>
      <w:rFonts w:ascii="黑体" w:eastAsia="黑体"/>
      <w:kern w:val="21"/>
      <w:sz w:val="21"/>
    </w:rPr>
  </w:style>
  <w:style w:type="paragraph" w:customStyle="1" w:styleId="aa">
    <w:name w:val="标准文件_附录英文标识"/>
    <w:next w:val="aff8"/>
    <w:qFormat/>
    <w:pPr>
      <w:numPr>
        <w:numId w:val="5"/>
      </w:numPr>
      <w:tabs>
        <w:tab w:val="left" w:pos="6406"/>
      </w:tabs>
      <w:spacing w:before="220" w:after="320"/>
      <w:jc w:val="center"/>
      <w:outlineLvl w:val="0"/>
    </w:pPr>
    <w:rPr>
      <w:rFonts w:ascii="黑体" w:eastAsia="黑体"/>
      <w:sz w:val="21"/>
    </w:rPr>
  </w:style>
  <w:style w:type="character" w:customStyle="1" w:styleId="aff9">
    <w:name w:val="正文文本 字符"/>
    <w:link w:val="aff8"/>
    <w:qFormat/>
    <w:rPr>
      <w:kern w:val="2"/>
      <w:sz w:val="21"/>
      <w:szCs w:val="21"/>
    </w:rPr>
  </w:style>
  <w:style w:type="paragraph" w:customStyle="1" w:styleId="affffff">
    <w:name w:val="标准文件_附录章标题"/>
    <w:next w:val="a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0">
    <w:name w:val="标准文件_公式后的破折号"/>
    <w:basedOn w:val="affff6"/>
    <w:next w:val="affff6"/>
    <w:qFormat/>
    <w:pPr>
      <w:ind w:leftChars="200" w:left="488" w:hangingChars="290" w:hanging="289"/>
    </w:pPr>
  </w:style>
  <w:style w:type="paragraph" w:customStyle="1" w:styleId="affffff1">
    <w:name w:val="标准文件_前言、引言标题"/>
    <w:next w:val="aff2"/>
    <w:qFormat/>
    <w:p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ffffff1"/>
    <w:next w:val="affff6"/>
    <w:qFormat/>
    <w:pPr>
      <w:spacing w:line="460" w:lineRule="exact"/>
    </w:pPr>
  </w:style>
  <w:style w:type="paragraph" w:customStyle="1" w:styleId="affffff3">
    <w:name w:val="标准文件_目录标题"/>
    <w:basedOn w:val="aff2"/>
    <w:qFormat/>
    <w:pPr>
      <w:spacing w:before="480" w:afterLines="150" w:after="150" w:line="240" w:lineRule="auto"/>
      <w:jc w:val="center"/>
    </w:pPr>
    <w:rPr>
      <w:rFonts w:ascii="黑体" w:eastAsia="黑体"/>
      <w:sz w:val="32"/>
    </w:rPr>
  </w:style>
  <w:style w:type="paragraph" w:customStyle="1" w:styleId="ab">
    <w:name w:val="标准文件_破折号列项"/>
    <w:qFormat/>
    <w:pPr>
      <w:numPr>
        <w:numId w:val="6"/>
      </w:numPr>
      <w:adjustRightInd w:val="0"/>
      <w:snapToGrid w:val="0"/>
      <w:ind w:firstLineChars="200" w:firstLine="200"/>
    </w:pPr>
    <w:rPr>
      <w:sz w:val="21"/>
    </w:rPr>
  </w:style>
  <w:style w:type="paragraph" w:customStyle="1" w:styleId="af6">
    <w:name w:val="标准文件_破折号列项（二级）"/>
    <w:basedOn w:val="ab"/>
    <w:qFormat/>
    <w:pPr>
      <w:numPr>
        <w:numId w:val="7"/>
      </w:numPr>
    </w:pPr>
  </w:style>
  <w:style w:type="paragraph" w:customStyle="1" w:styleId="affffff4">
    <w:name w:val="标准文件_三级条标题"/>
    <w:basedOn w:val="affffe"/>
    <w:next w:val="affff6"/>
    <w:qFormat/>
    <w:pPr>
      <w:widowControl/>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2"/>
    <w:qFormat/>
    <w:pPr>
      <w:adjustRightInd/>
      <w:spacing w:line="240" w:lineRule="auto"/>
      <w:ind w:firstLineChars="200" w:firstLine="200"/>
    </w:pPr>
    <w:rPr>
      <w:sz w:val="18"/>
      <w:szCs w:val="24"/>
    </w:rPr>
  </w:style>
  <w:style w:type="paragraph" w:customStyle="1" w:styleId="afd">
    <w:name w:val="标准文件_数字编号列项"/>
    <w:qFormat/>
    <w:pPr>
      <w:numPr>
        <w:numId w:val="8"/>
      </w:numPr>
      <w:jc w:val="both"/>
    </w:pPr>
    <w:rPr>
      <w:rFonts w:ascii="宋体" w:hAnsi="宋体"/>
      <w:sz w:val="21"/>
    </w:rPr>
  </w:style>
  <w:style w:type="paragraph" w:customStyle="1" w:styleId="affffff6">
    <w:name w:val="标准文件_四级条标题"/>
    <w:next w:val="affff6"/>
    <w:qFormat/>
    <w:pPr>
      <w:widowControl w:val="0"/>
      <w:spacing w:beforeLines="50" w:before="50" w:afterLines="50" w:after="50"/>
      <w:jc w:val="both"/>
      <w:outlineLvl w:val="4"/>
    </w:pPr>
    <w:rPr>
      <w:rFonts w:ascii="黑体" w:eastAsia="黑体"/>
      <w:sz w:val="21"/>
    </w:rPr>
  </w:style>
  <w:style w:type="character" w:customStyle="1" w:styleId="afff3">
    <w:name w:val="脚注文本 字符"/>
    <w:link w:val="afff2"/>
    <w:semiHidden/>
    <w:qFormat/>
    <w:rPr>
      <w:rFonts w:ascii="宋体"/>
      <w:kern w:val="2"/>
      <w:sz w:val="18"/>
      <w:szCs w:val="18"/>
    </w:rPr>
  </w:style>
  <w:style w:type="paragraph" w:customStyle="1" w:styleId="affffff7">
    <w:name w:val="标准文件_条文脚注"/>
    <w:basedOn w:val="afff2"/>
    <w:qFormat/>
    <w:pPr>
      <w:adjustRightInd w:val="0"/>
      <w:spacing w:line="240" w:lineRule="auto"/>
      <w:ind w:leftChars="0" w:left="0" w:firstLineChars="200" w:firstLine="200"/>
      <w:jc w:val="both"/>
    </w:pPr>
    <w:rPr>
      <w:rFonts w:hAnsi="宋体"/>
    </w:rPr>
  </w:style>
  <w:style w:type="paragraph" w:customStyle="1" w:styleId="ae">
    <w:name w:val="标准文件_图表脚注"/>
    <w:basedOn w:val="aff2"/>
    <w:next w:val="affff6"/>
    <w:qFormat/>
    <w:pPr>
      <w:numPr>
        <w:numId w:val="9"/>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fff9">
    <w:name w:val="标准文件_五级条标题"/>
    <w:next w:val="affff6"/>
    <w:qFormat/>
    <w:pPr>
      <w:widowControl w:val="0"/>
      <w:spacing w:beforeLines="50" w:before="50" w:afterLines="50" w:after="50"/>
      <w:jc w:val="both"/>
      <w:outlineLvl w:val="5"/>
    </w:pPr>
    <w:rPr>
      <w:rFonts w:ascii="黑体" w:eastAsia="黑体"/>
      <w:sz w:val="21"/>
    </w:rPr>
  </w:style>
  <w:style w:type="paragraph" w:customStyle="1" w:styleId="affffffa">
    <w:name w:val="标准文件_章标题"/>
    <w:next w:val="affff6"/>
    <w:qFormat/>
    <w:pPr>
      <w:spacing w:beforeLines="100" w:before="100" w:afterLines="100" w:after="100"/>
      <w:jc w:val="both"/>
      <w:outlineLvl w:val="0"/>
    </w:pPr>
    <w:rPr>
      <w:rFonts w:ascii="黑体" w:eastAsia="黑体"/>
      <w:sz w:val="21"/>
    </w:rPr>
  </w:style>
  <w:style w:type="paragraph" w:customStyle="1" w:styleId="affffffb">
    <w:name w:val="标准文件_一级条标题"/>
    <w:basedOn w:val="affffffa"/>
    <w:next w:val="affff6"/>
    <w:qFormat/>
    <w:pPr>
      <w:spacing w:beforeLines="50" w:before="50" w:afterLines="50" w:after="50"/>
      <w:outlineLvl w:val="1"/>
    </w:pPr>
  </w:style>
  <w:style w:type="paragraph" w:customStyle="1" w:styleId="affffffc">
    <w:name w:val="标准文件_一致程度"/>
    <w:basedOn w:val="aff2"/>
    <w:qFormat/>
    <w:pPr>
      <w:spacing w:line="440" w:lineRule="exact"/>
      <w:jc w:val="center"/>
    </w:pPr>
    <w:rPr>
      <w:sz w:val="28"/>
    </w:rPr>
  </w:style>
  <w:style w:type="paragraph" w:customStyle="1" w:styleId="affffffd">
    <w:name w:val="标准文件_引言标题"/>
    <w:next w:val="aff2"/>
    <w:qFormat/>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5"/>
    <w:qFormat/>
    <w:pPr>
      <w:widowControl/>
      <w:adjustRightInd/>
      <w:snapToGrid/>
      <w:spacing w:line="240" w:lineRule="auto"/>
      <w:ind w:left="79" w:hangingChars="80" w:hanging="79"/>
    </w:pPr>
    <w:rPr>
      <w:rFonts w:ascii="宋体" w:hAnsi="宋体"/>
    </w:rPr>
  </w:style>
  <w:style w:type="paragraph" w:customStyle="1" w:styleId="af0">
    <w:name w:val="标准文件_数字编号列项（二级）"/>
    <w:qFormat/>
    <w:pPr>
      <w:numPr>
        <w:ilvl w:val="1"/>
        <w:numId w:val="10"/>
      </w:numPr>
      <w:jc w:val="both"/>
    </w:pPr>
    <w:rPr>
      <w:rFonts w:ascii="宋体"/>
      <w:sz w:val="21"/>
    </w:rPr>
  </w:style>
  <w:style w:type="paragraph" w:customStyle="1" w:styleId="a9">
    <w:name w:val="标准文件_英文注："/>
    <w:basedOn w:val="aff2"/>
    <w:next w:val="affff6"/>
    <w:qFormat/>
    <w:pPr>
      <w:numPr>
        <w:numId w:val="11"/>
      </w:numPr>
      <w:tabs>
        <w:tab w:val="left" w:pos="420"/>
      </w:tabs>
      <w:autoSpaceDE w:val="0"/>
      <w:autoSpaceDN w:val="0"/>
      <w:spacing w:line="240" w:lineRule="auto"/>
    </w:pPr>
    <w:rPr>
      <w:rFonts w:ascii="宋体" w:hAnsi="宋体"/>
      <w:kern w:val="0"/>
      <w:sz w:val="18"/>
      <w:szCs w:val="20"/>
    </w:rPr>
  </w:style>
  <w:style w:type="paragraph" w:customStyle="1" w:styleId="afa">
    <w:name w:val="标准文件_英文注×："/>
    <w:basedOn w:val="aff2"/>
    <w:qFormat/>
    <w:pPr>
      <w:numPr>
        <w:numId w:val="12"/>
      </w:numPr>
      <w:tabs>
        <w:tab w:val="left" w:pos="210"/>
      </w:tabs>
      <w:autoSpaceDE w:val="0"/>
      <w:autoSpaceDN w:val="0"/>
      <w:spacing w:line="240" w:lineRule="auto"/>
    </w:pPr>
    <w:rPr>
      <w:rFonts w:ascii="宋体" w:hAnsi="宋体"/>
      <w:kern w:val="0"/>
      <w:szCs w:val="20"/>
    </w:rPr>
  </w:style>
  <w:style w:type="paragraph" w:customStyle="1" w:styleId="afc">
    <w:name w:val="标准文件_正文表标题"/>
    <w:next w:val="affff6"/>
    <w:qFormat/>
    <w:pPr>
      <w:numPr>
        <w:numId w:val="13"/>
      </w:numPr>
      <w:tabs>
        <w:tab w:val="left" w:pos="0"/>
      </w:tabs>
      <w:spacing w:beforeLines="50" w:before="50" w:afterLines="50" w:after="50"/>
      <w:jc w:val="center"/>
    </w:pPr>
    <w:rPr>
      <w:rFonts w:ascii="黑体" w:eastAsia="黑体"/>
      <w:sz w:val="21"/>
    </w:rPr>
  </w:style>
  <w:style w:type="paragraph" w:customStyle="1" w:styleId="afffffff">
    <w:name w:val="标准文件_正文公式"/>
    <w:basedOn w:val="aff2"/>
    <w:next w:val="affff5"/>
    <w:qFormat/>
    <w:pPr>
      <w:tabs>
        <w:tab w:val="center" w:pos="4678"/>
        <w:tab w:val="right" w:leader="middleDot" w:pos="9356"/>
      </w:tabs>
      <w:spacing w:line="240" w:lineRule="auto"/>
    </w:pPr>
    <w:rPr>
      <w:rFonts w:ascii="宋体" w:hAnsi="宋体"/>
    </w:rPr>
  </w:style>
  <w:style w:type="paragraph" w:customStyle="1" w:styleId="af7">
    <w:name w:val="标准文件_正文图标题"/>
    <w:next w:val="affff6"/>
    <w:qFormat/>
    <w:pPr>
      <w:numPr>
        <w:numId w:val="14"/>
      </w:numPr>
      <w:spacing w:beforeLines="50" w:before="50" w:afterLines="50" w:after="50"/>
      <w:jc w:val="center"/>
    </w:pPr>
    <w:rPr>
      <w:rFonts w:ascii="黑体" w:eastAsia="黑体"/>
      <w:sz w:val="21"/>
    </w:rPr>
  </w:style>
  <w:style w:type="paragraph" w:customStyle="1" w:styleId="aff0">
    <w:name w:val="标准文件_正文英文表标题"/>
    <w:next w:val="affff6"/>
    <w:qFormat/>
    <w:pPr>
      <w:numPr>
        <w:numId w:val="15"/>
      </w:numPr>
      <w:jc w:val="center"/>
    </w:pPr>
    <w:rPr>
      <w:rFonts w:ascii="黑体" w:eastAsia="黑体"/>
      <w:sz w:val="21"/>
    </w:rPr>
  </w:style>
  <w:style w:type="paragraph" w:customStyle="1" w:styleId="af5">
    <w:name w:val="标准文件_正文英文图标题"/>
    <w:next w:val="affff6"/>
    <w:qFormat/>
    <w:pPr>
      <w:numPr>
        <w:numId w:val="16"/>
      </w:numPr>
      <w:jc w:val="center"/>
    </w:pPr>
    <w:rPr>
      <w:rFonts w:ascii="黑体" w:eastAsia="黑体"/>
      <w:sz w:val="21"/>
    </w:rPr>
  </w:style>
  <w:style w:type="paragraph" w:customStyle="1" w:styleId="af1">
    <w:name w:val="标准文件_编号列项（三级）"/>
    <w:qFormat/>
    <w:pPr>
      <w:numPr>
        <w:ilvl w:val="2"/>
        <w:numId w:val="10"/>
      </w:numPr>
    </w:pPr>
    <w:rPr>
      <w:rFonts w:ascii="宋体"/>
      <w:sz w:val="21"/>
    </w:rPr>
  </w:style>
  <w:style w:type="paragraph" w:customStyle="1" w:styleId="a1">
    <w:name w:val="二级无标题条"/>
    <w:basedOn w:val="aff2"/>
    <w:qFormat/>
    <w:pPr>
      <w:numPr>
        <w:ilvl w:val="3"/>
        <w:numId w:val="17"/>
      </w:numPr>
      <w:adjustRightInd/>
      <w:spacing w:line="240" w:lineRule="auto"/>
    </w:pPr>
    <w:rPr>
      <w:rFonts w:ascii="宋体" w:hAnsi="宋体"/>
      <w:szCs w:val="24"/>
    </w:rPr>
  </w:style>
  <w:style w:type="paragraph" w:customStyle="1" w:styleId="afffffff0">
    <w:name w:val="发布部门"/>
    <w:next w:val="affff6"/>
    <w:qFormat/>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qFormat/>
    <w:pPr>
      <w:framePr w:w="4000" w:h="473" w:hRule="exact" w:hSpace="180" w:vSpace="180" w:wrap="around" w:hAnchor="margin" w:y="13511" w:anchorLock="1"/>
    </w:pPr>
    <w:rPr>
      <w:rFonts w:eastAsia="黑体"/>
      <w:sz w:val="28"/>
    </w:rPr>
  </w:style>
  <w:style w:type="paragraph" w:customStyle="1" w:styleId="afffffff2">
    <w:name w:val="封面标准代替信息"/>
    <w:basedOn w:val="aff2"/>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qFormat/>
    <w:pPr>
      <w:spacing w:before="180" w:line="180" w:lineRule="exact"/>
      <w:jc w:val="center"/>
    </w:pPr>
    <w:rPr>
      <w:rFonts w:ascii="宋体"/>
      <w:sz w:val="21"/>
    </w:rPr>
  </w:style>
  <w:style w:type="paragraph" w:customStyle="1" w:styleId="afffffff5">
    <w:name w:val="封面标准文稿类别"/>
    <w:qFormat/>
    <w:pPr>
      <w:spacing w:before="440" w:line="400" w:lineRule="exact"/>
      <w:jc w:val="center"/>
    </w:pPr>
    <w:rPr>
      <w:rFonts w:ascii="宋体"/>
      <w:sz w:val="24"/>
    </w:rPr>
  </w:style>
  <w:style w:type="paragraph" w:customStyle="1" w:styleId="afffffff6">
    <w:name w:val="封面标准英文名称"/>
    <w:qFormat/>
    <w:pPr>
      <w:widowControl w:val="0"/>
      <w:spacing w:line="360" w:lineRule="exact"/>
      <w:jc w:val="center"/>
    </w:pPr>
    <w:rPr>
      <w:sz w:val="28"/>
    </w:rPr>
  </w:style>
  <w:style w:type="paragraph" w:customStyle="1" w:styleId="afffffff7">
    <w:name w:val="封面一致性程度标识"/>
    <w:qFormat/>
    <w:pPr>
      <w:spacing w:before="440" w:line="440" w:lineRule="exact"/>
      <w:jc w:val="center"/>
    </w:pPr>
    <w:rPr>
      <w:sz w:val="28"/>
    </w:rPr>
  </w:style>
  <w:style w:type="paragraph" w:customStyle="1" w:styleId="afffffff8">
    <w:name w:val="封面正文"/>
    <w:qFormat/>
    <w:pPr>
      <w:jc w:val="both"/>
    </w:pPr>
  </w:style>
  <w:style w:type="paragraph" w:customStyle="1" w:styleId="afffffff9">
    <w:name w:val="附录二级无标题条"/>
    <w:basedOn w:val="aff2"/>
    <w:next w:val="a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6"/>
    <w:qFormat/>
    <w:pPr>
      <w:outlineLvl w:val="4"/>
    </w:pPr>
  </w:style>
  <w:style w:type="paragraph" w:customStyle="1" w:styleId="afffffffb">
    <w:name w:val="附录四级无标题条"/>
    <w:basedOn w:val="afffffffa"/>
    <w:next w:val="affff6"/>
    <w:qFormat/>
    <w:pPr>
      <w:outlineLvl w:val="5"/>
    </w:pPr>
  </w:style>
  <w:style w:type="paragraph" w:customStyle="1" w:styleId="afffffffc">
    <w:name w:val="附录图"/>
    <w:next w:val="a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c">
    <w:name w:val="标准文件_一级项"/>
    <w:qFormat/>
    <w:pPr>
      <w:numPr>
        <w:numId w:val="18"/>
      </w:numPr>
    </w:pPr>
    <w:rPr>
      <w:rFonts w:ascii="宋体"/>
      <w:sz w:val="21"/>
    </w:rPr>
  </w:style>
  <w:style w:type="paragraph" w:customStyle="1" w:styleId="afffffffd">
    <w:name w:val="附录五级无标题条"/>
    <w:basedOn w:val="afffffffb"/>
    <w:next w:val="affff6"/>
    <w:qFormat/>
    <w:pPr>
      <w:outlineLvl w:val="6"/>
    </w:pPr>
  </w:style>
  <w:style w:type="paragraph" w:customStyle="1" w:styleId="afffffffe">
    <w:name w:val="附录性质"/>
    <w:basedOn w:val="aff2"/>
    <w:qFormat/>
    <w:pPr>
      <w:widowControl/>
      <w:adjustRightInd/>
      <w:jc w:val="center"/>
    </w:pPr>
    <w:rPr>
      <w:rFonts w:ascii="黑体" w:eastAsia="黑体"/>
    </w:rPr>
  </w:style>
  <w:style w:type="paragraph" w:customStyle="1" w:styleId="affffffff">
    <w:name w:val="附录一级无标题条"/>
    <w:basedOn w:val="affffff"/>
    <w:next w:val="affff6"/>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sz w:val="18"/>
    </w:rPr>
  </w:style>
  <w:style w:type="paragraph" w:customStyle="1" w:styleId="aff1">
    <w:name w:val="列项——"/>
    <w:qFormat/>
    <w:pPr>
      <w:widowControl w:val="0"/>
      <w:numPr>
        <w:numId w:val="19"/>
      </w:numPr>
      <w:jc w:val="both"/>
    </w:pPr>
    <w:rPr>
      <w:rFonts w:ascii="宋体" w:hAnsi="宋体"/>
      <w:sz w:val="21"/>
    </w:rPr>
  </w:style>
  <w:style w:type="paragraph" w:customStyle="1" w:styleId="affffffff3">
    <w:name w:val="列项·"/>
    <w:basedOn w:val="affff6"/>
    <w:qFormat/>
    <w:pPr>
      <w:tabs>
        <w:tab w:val="left" w:pos="840"/>
      </w:tabs>
    </w:pPr>
  </w:style>
  <w:style w:type="paragraph" w:customStyle="1" w:styleId="affffffff4">
    <w:name w:val="目次、索引正文"/>
    <w:qFormat/>
    <w:pPr>
      <w:spacing w:line="320" w:lineRule="exact"/>
      <w:jc w:val="both"/>
    </w:pPr>
    <w:rPr>
      <w:rFonts w:ascii="宋体"/>
      <w:sz w:val="21"/>
    </w:rPr>
  </w:style>
  <w:style w:type="paragraph" w:customStyle="1" w:styleId="210">
    <w:name w:val="目录 21"/>
    <w:basedOn w:val="aff2"/>
    <w:next w:val="aff2"/>
    <w:semiHidden/>
    <w:qFormat/>
    <w:pPr>
      <w:adjustRightInd/>
      <w:spacing w:line="240" w:lineRule="auto"/>
      <w:jc w:val="left"/>
    </w:pPr>
    <w:rPr>
      <w:bCs/>
      <w:iCs/>
    </w:rPr>
  </w:style>
  <w:style w:type="paragraph" w:customStyle="1" w:styleId="31">
    <w:name w:val="目录 31"/>
    <w:basedOn w:val="aff2"/>
    <w:next w:val="aff2"/>
    <w:semiHidden/>
    <w:qFormat/>
    <w:pPr>
      <w:spacing w:line="240" w:lineRule="auto"/>
    </w:pPr>
    <w:rPr>
      <w:rFonts w:ascii="宋体" w:hAnsi="宋体"/>
      <w:iCs/>
    </w:rPr>
  </w:style>
  <w:style w:type="paragraph" w:customStyle="1" w:styleId="41">
    <w:name w:val="目录 41"/>
    <w:basedOn w:val="aff2"/>
    <w:next w:val="aff2"/>
    <w:semiHidden/>
    <w:qFormat/>
    <w:pPr>
      <w:adjustRightInd/>
      <w:spacing w:line="240" w:lineRule="auto"/>
      <w:jc w:val="left"/>
    </w:pPr>
  </w:style>
  <w:style w:type="paragraph" w:customStyle="1" w:styleId="51">
    <w:name w:val="目录 51"/>
    <w:basedOn w:val="aff2"/>
    <w:next w:val="aff2"/>
    <w:semiHidden/>
    <w:qFormat/>
    <w:pPr>
      <w:spacing w:line="240" w:lineRule="auto"/>
    </w:pPr>
    <w:rPr>
      <w:rFonts w:ascii="宋体" w:hAnsi="宋体"/>
    </w:rPr>
  </w:style>
  <w:style w:type="paragraph" w:customStyle="1" w:styleId="61">
    <w:name w:val="目录 61"/>
    <w:basedOn w:val="aff2"/>
    <w:next w:val="aff2"/>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ffffff7">
    <w:name w:val="前言标题"/>
    <w:next w:val="aff2"/>
    <w:qFormat/>
    <w:pPr>
      <w:shd w:val="clear" w:color="FFFFFF" w:fill="FFFFFF"/>
      <w:spacing w:before="540" w:after="600"/>
      <w:jc w:val="center"/>
      <w:outlineLvl w:val="0"/>
    </w:pPr>
    <w:rPr>
      <w:rFonts w:ascii="黑体" w:eastAsia="黑体"/>
      <w:sz w:val="32"/>
    </w:rPr>
  </w:style>
  <w:style w:type="paragraph" w:customStyle="1" w:styleId="a2">
    <w:name w:val="三级无标题条"/>
    <w:basedOn w:val="aff2"/>
    <w:qFormat/>
    <w:pPr>
      <w:numPr>
        <w:ilvl w:val="4"/>
        <w:numId w:val="17"/>
      </w:numPr>
      <w:adjustRightInd/>
      <w:spacing w:line="240" w:lineRule="auto"/>
    </w:pPr>
    <w:rPr>
      <w:rFonts w:ascii="宋体" w:hAnsi="宋体"/>
      <w:szCs w:val="24"/>
    </w:rPr>
  </w:style>
  <w:style w:type="paragraph" w:customStyle="1" w:styleId="affffffff8">
    <w:name w:val="实施日期"/>
    <w:basedOn w:val="afffffff1"/>
    <w:qFormat/>
    <w:pPr>
      <w:framePr w:hSpace="0" w:wrap="around" w:xAlign="right"/>
      <w:jc w:val="right"/>
    </w:pPr>
  </w:style>
  <w:style w:type="paragraph" w:customStyle="1" w:styleId="a3">
    <w:name w:val="四级无标题条"/>
    <w:basedOn w:val="aff2"/>
    <w:qFormat/>
    <w:pPr>
      <w:numPr>
        <w:ilvl w:val="5"/>
        <w:numId w:val="17"/>
      </w:numPr>
      <w:adjustRightInd/>
      <w:spacing w:line="240" w:lineRule="auto"/>
    </w:pPr>
    <w:rPr>
      <w:rFonts w:ascii="宋体" w:hAnsi="宋体"/>
      <w:szCs w:val="24"/>
    </w:rPr>
  </w:style>
  <w:style w:type="paragraph" w:customStyle="1" w:styleId="affffffff9">
    <w:name w:val="文献分类号"/>
    <w:qFormat/>
    <w:pPr>
      <w:framePr w:hSpace="180" w:vSpace="180" w:wrap="around" w:hAnchor="margin" w:y="1" w:anchorLock="1"/>
      <w:widowControl w:val="0"/>
      <w:textAlignment w:val="center"/>
    </w:pPr>
    <w:rPr>
      <w:rFonts w:eastAsia="黑体"/>
      <w:sz w:val="21"/>
    </w:rPr>
  </w:style>
  <w:style w:type="paragraph" w:customStyle="1" w:styleId="affffffffa">
    <w:name w:val="无标题条"/>
    <w:next w:val="affff6"/>
    <w:qFormat/>
    <w:pPr>
      <w:jc w:val="both"/>
    </w:pPr>
    <w:rPr>
      <w:rFonts w:ascii="宋体" w:hAnsi="宋体"/>
      <w:sz w:val="21"/>
    </w:rPr>
  </w:style>
  <w:style w:type="paragraph" w:customStyle="1" w:styleId="a4">
    <w:name w:val="五级无标题条"/>
    <w:basedOn w:val="aff2"/>
    <w:qFormat/>
    <w:pPr>
      <w:numPr>
        <w:ilvl w:val="6"/>
        <w:numId w:val="17"/>
      </w:numPr>
      <w:adjustRightInd/>
    </w:pPr>
    <w:rPr>
      <w:szCs w:val="24"/>
    </w:rPr>
  </w:style>
  <w:style w:type="paragraph" w:customStyle="1" w:styleId="a0">
    <w:name w:val="一级无标题条"/>
    <w:basedOn w:val="aff2"/>
    <w:qFormat/>
    <w:pPr>
      <w:numPr>
        <w:ilvl w:val="2"/>
        <w:numId w:val="17"/>
      </w:numPr>
      <w:adjustRightInd/>
      <w:spacing w:before="10" w:after="10" w:line="240" w:lineRule="auto"/>
    </w:pPr>
    <w:rPr>
      <w:rFonts w:ascii="宋体" w:hAnsi="宋体"/>
      <w:szCs w:val="24"/>
    </w:rPr>
  </w:style>
  <w:style w:type="paragraph" w:customStyle="1" w:styleId="affffffffb">
    <w:name w:val="注:后续"/>
    <w:qFormat/>
    <w:pPr>
      <w:spacing w:line="300" w:lineRule="exact"/>
      <w:ind w:leftChars="400" w:left="600" w:hangingChars="200" w:hanging="200"/>
      <w:jc w:val="both"/>
    </w:pPr>
    <w:rPr>
      <w:rFonts w:ascii="宋体"/>
      <w:sz w:val="18"/>
    </w:rPr>
  </w:style>
  <w:style w:type="paragraph" w:customStyle="1" w:styleId="affffffffc">
    <w:name w:val="注×:后续"/>
    <w:basedOn w:val="affffffffb"/>
    <w:qFormat/>
    <w:pPr>
      <w:ind w:leftChars="0" w:left="1406" w:firstLineChars="0" w:hanging="499"/>
    </w:pPr>
  </w:style>
  <w:style w:type="paragraph" w:customStyle="1" w:styleId="affffffffd">
    <w:name w:val="标准文件_一级无标题"/>
    <w:basedOn w:val="affffffb"/>
    <w:qFormat/>
    <w:pPr>
      <w:spacing w:beforeLines="0" w:before="0" w:afterLines="0" w:after="0"/>
      <w:outlineLvl w:val="9"/>
    </w:pPr>
    <w:rPr>
      <w:rFonts w:ascii="宋体" w:eastAsia="宋体"/>
    </w:rPr>
  </w:style>
  <w:style w:type="paragraph" w:customStyle="1" w:styleId="affffffffe">
    <w:name w:val="标准文件_五级无标题"/>
    <w:basedOn w:val="affffff9"/>
    <w:qFormat/>
    <w:pPr>
      <w:spacing w:beforeLines="0" w:before="0" w:afterLines="0" w:after="0"/>
      <w:outlineLvl w:val="9"/>
    </w:pPr>
    <w:rPr>
      <w:rFonts w:ascii="宋体" w:eastAsia="宋体"/>
    </w:rPr>
  </w:style>
  <w:style w:type="paragraph" w:customStyle="1" w:styleId="afffffffff">
    <w:name w:val="标准文件_三级无标题"/>
    <w:basedOn w:val="affffff4"/>
    <w:qFormat/>
    <w:pPr>
      <w:spacing w:beforeLines="0" w:before="0" w:afterLines="0" w:after="0"/>
      <w:outlineLvl w:val="9"/>
    </w:pPr>
    <w:rPr>
      <w:rFonts w:ascii="宋体" w:eastAsia="宋体"/>
    </w:rPr>
  </w:style>
  <w:style w:type="paragraph" w:customStyle="1" w:styleId="afffffffff0">
    <w:name w:val="标准文件_二级无标题"/>
    <w:basedOn w:val="affffe"/>
    <w:qFormat/>
    <w:pPr>
      <w:spacing w:beforeLines="0" w:before="0" w:afterLines="0" w:after="0"/>
      <w:outlineLvl w:val="9"/>
    </w:pPr>
    <w:rPr>
      <w:rFonts w:ascii="宋体" w:eastAsia="宋体"/>
    </w:rPr>
  </w:style>
  <w:style w:type="paragraph" w:customStyle="1" w:styleId="afffffffff1">
    <w:name w:val="标准_四级无标题"/>
    <w:basedOn w:val="affffff6"/>
    <w:next w:val="affff6"/>
    <w:qFormat/>
    <w:rPr>
      <w:rFonts w:eastAsia="宋体"/>
    </w:rPr>
  </w:style>
  <w:style w:type="paragraph" w:customStyle="1" w:styleId="afffffffff2">
    <w:name w:val="标准文件_四级无标题"/>
    <w:basedOn w:val="affffff6"/>
    <w:qFormat/>
    <w:pPr>
      <w:spacing w:beforeLines="0" w:before="0" w:afterLines="0" w:after="0"/>
      <w:outlineLvl w:val="9"/>
    </w:pPr>
    <w:rPr>
      <w:rFonts w:ascii="宋体" w:eastAsia="宋体" w:hAnsi="黑体"/>
      <w:szCs w:val="52"/>
    </w:rPr>
  </w:style>
  <w:style w:type="paragraph" w:customStyle="1" w:styleId="afb">
    <w:name w:val="标准文件_大写罗马数字编号列项"/>
    <w:basedOn w:val="affff6"/>
    <w:qFormat/>
    <w:pPr>
      <w:numPr>
        <w:numId w:val="20"/>
      </w:numPr>
      <w:ind w:firstLineChars="0" w:firstLine="0"/>
    </w:pPr>
    <w:rPr>
      <w:rFonts w:ascii="Times New Roman" w:cs="Arial"/>
      <w:szCs w:val="28"/>
    </w:rPr>
  </w:style>
  <w:style w:type="paragraph" w:customStyle="1" w:styleId="a8">
    <w:name w:val="标准文件_小写罗马数字编号列项"/>
    <w:basedOn w:val="affff6"/>
    <w:qFormat/>
    <w:pPr>
      <w:numPr>
        <w:numId w:val="21"/>
      </w:numPr>
      <w:ind w:firstLineChars="0" w:firstLine="0"/>
    </w:pPr>
    <w:rPr>
      <w:rFonts w:cs="Arial"/>
      <w:szCs w:val="28"/>
    </w:rPr>
  </w:style>
  <w:style w:type="paragraph" w:customStyle="1" w:styleId="afffffffff3">
    <w:name w:val="标准文件_附录标题"/>
    <w:basedOn w:val="afffff8"/>
    <w:qFormat/>
    <w:pPr>
      <w:spacing w:after="280"/>
      <w:outlineLvl w:val="9"/>
    </w:pPr>
  </w:style>
  <w:style w:type="paragraph" w:customStyle="1" w:styleId="afffffffff4">
    <w:name w:val="标准文件_二级项"/>
    <w:qFormat/>
    <w:rPr>
      <w:rFonts w:ascii="宋体"/>
      <w:sz w:val="21"/>
    </w:rPr>
  </w:style>
  <w:style w:type="paragraph" w:customStyle="1" w:styleId="ad">
    <w:name w:val="标准文件_三级项"/>
    <w:basedOn w:val="aff2"/>
    <w:qFormat/>
    <w:pPr>
      <w:numPr>
        <w:ilvl w:val="2"/>
        <w:numId w:val="18"/>
      </w:numPr>
      <w:spacing w:line="-300" w:lineRule="auto"/>
    </w:pPr>
    <w:rPr>
      <w:rFonts w:ascii="Times New Roman" w:hAnsi="Times New Roman"/>
    </w:rPr>
  </w:style>
  <w:style w:type="paragraph" w:customStyle="1" w:styleId="afe">
    <w:name w:val="图表脚注说明"/>
    <w:basedOn w:val="aff2"/>
    <w:next w:val="affff6"/>
    <w:qFormat/>
    <w:pPr>
      <w:numPr>
        <w:numId w:val="22"/>
      </w:numPr>
      <w:adjustRightInd/>
      <w:spacing w:line="240" w:lineRule="auto"/>
    </w:pPr>
    <w:rPr>
      <w:rFonts w:ascii="宋体" w:hAnsi="Times New Roman"/>
      <w:sz w:val="18"/>
      <w:szCs w:val="18"/>
    </w:rPr>
  </w:style>
  <w:style w:type="paragraph" w:customStyle="1" w:styleId="af">
    <w:name w:val="标准文件_字母编号列项（一级）"/>
    <w:qFormat/>
    <w:pPr>
      <w:numPr>
        <w:numId w:val="10"/>
      </w:numPr>
      <w:jc w:val="both"/>
    </w:pPr>
    <w:rPr>
      <w:rFonts w:ascii="宋体"/>
      <w:sz w:val="21"/>
    </w:rPr>
  </w:style>
  <w:style w:type="paragraph" w:customStyle="1" w:styleId="afffffffff5">
    <w:name w:val="标准文件_索引字母"/>
    <w:next w:val="affff6"/>
    <w:qFormat/>
    <w:pPr>
      <w:jc w:val="center"/>
    </w:pPr>
    <w:rPr>
      <w:rFonts w:ascii="宋体" w:eastAsia="Times New Roman" w:hAnsi="宋体"/>
      <w:b/>
      <w:kern w:val="2"/>
      <w:sz w:val="21"/>
    </w:rPr>
  </w:style>
  <w:style w:type="paragraph" w:customStyle="1" w:styleId="afffffffff6">
    <w:name w:val="标准文件_附录前"/>
    <w:next w:val="affff6"/>
    <w:qFormat/>
    <w:pPr>
      <w:spacing w:line="20" w:lineRule="atLeast"/>
      <w:ind w:firstLine="200"/>
    </w:pPr>
    <w:rPr>
      <w:rFonts w:ascii="宋体" w:hAnsi="宋体"/>
      <w:kern w:val="2"/>
      <w:sz w:val="10"/>
    </w:rPr>
  </w:style>
  <w:style w:type="paragraph" w:customStyle="1" w:styleId="afffffffff7">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6"/>
    <w:qFormat/>
    <w:pPr>
      <w:ind w:firstLineChars="0" w:firstLine="0"/>
      <w:jc w:val="center"/>
    </w:pPr>
    <w:rPr>
      <w:sz w:val="18"/>
    </w:rPr>
  </w:style>
  <w:style w:type="paragraph" w:customStyle="1" w:styleId="aff">
    <w:name w:val="标准文件_注："/>
    <w:next w:val="affff6"/>
    <w:qFormat/>
    <w:pPr>
      <w:widowControl w:val="0"/>
      <w:numPr>
        <w:numId w:val="23"/>
      </w:numPr>
      <w:autoSpaceDE w:val="0"/>
      <w:autoSpaceDN w:val="0"/>
      <w:jc w:val="both"/>
    </w:pPr>
    <w:rPr>
      <w:rFonts w:ascii="宋体"/>
      <w:sz w:val="18"/>
      <w:szCs w:val="18"/>
    </w:rPr>
  </w:style>
  <w:style w:type="paragraph" w:customStyle="1" w:styleId="a5">
    <w:name w:val="标准文件_注×："/>
    <w:qFormat/>
    <w:pPr>
      <w:widowControl w:val="0"/>
      <w:numPr>
        <w:numId w:val="24"/>
      </w:numPr>
      <w:autoSpaceDE w:val="0"/>
      <w:autoSpaceDN w:val="0"/>
      <w:jc w:val="both"/>
    </w:pPr>
    <w:rPr>
      <w:rFonts w:ascii="宋体"/>
      <w:sz w:val="18"/>
      <w:szCs w:val="18"/>
    </w:rPr>
  </w:style>
  <w:style w:type="paragraph" w:customStyle="1" w:styleId="a6">
    <w:name w:val="标准文件_示例："/>
    <w:next w:val="afffffffff9"/>
    <w:qFormat/>
    <w:pPr>
      <w:widowControl w:val="0"/>
      <w:numPr>
        <w:numId w:val="25"/>
      </w:numPr>
      <w:jc w:val="both"/>
    </w:pPr>
    <w:rPr>
      <w:rFonts w:ascii="宋体"/>
      <w:sz w:val="18"/>
      <w:szCs w:val="18"/>
    </w:rPr>
  </w:style>
  <w:style w:type="paragraph" w:customStyle="1" w:styleId="afffffffff9">
    <w:name w:val="标准文件_示例内容"/>
    <w:basedOn w:val="affff6"/>
    <w:qFormat/>
    <w:pPr>
      <w:ind w:firstLine="420"/>
    </w:pPr>
    <w:rPr>
      <w:sz w:val="18"/>
    </w:rPr>
  </w:style>
  <w:style w:type="paragraph" w:customStyle="1" w:styleId="af4">
    <w:name w:val="标准文件_示例×："/>
    <w:basedOn w:val="aff2"/>
    <w:next w:val="afffffffff9"/>
    <w:qFormat/>
    <w:pPr>
      <w:widowControl/>
      <w:numPr>
        <w:numId w:val="26"/>
      </w:numPr>
      <w:adjustRightInd/>
      <w:spacing w:line="240" w:lineRule="auto"/>
    </w:pPr>
    <w:rPr>
      <w:rFonts w:ascii="宋体" w:hAnsi="Times New Roman"/>
      <w:kern w:val="0"/>
      <w:sz w:val="18"/>
      <w:szCs w:val="18"/>
    </w:rPr>
  </w:style>
  <w:style w:type="character" w:customStyle="1" w:styleId="Char0">
    <w:name w:val="标准文件_段 Char"/>
    <w:link w:val="affff6"/>
    <w:qFormat/>
    <w:rPr>
      <w:rFonts w:ascii="宋体" w:hAnsi="Times New Roman"/>
      <w:sz w:val="21"/>
    </w:rPr>
  </w:style>
  <w:style w:type="paragraph" w:customStyle="1" w:styleId="afffffffffa">
    <w:name w:val="标准文件_表格续"/>
    <w:basedOn w:val="affff6"/>
    <w:next w:val="affff6"/>
    <w:qFormat/>
    <w:pPr>
      <w:jc w:val="center"/>
    </w:pPr>
    <w:rPr>
      <w:rFonts w:ascii="黑体" w:eastAsia="黑体" w:hAnsi="黑体"/>
    </w:rPr>
  </w:style>
  <w:style w:type="character" w:styleId="afffffffffb">
    <w:name w:val="Placeholder Text"/>
    <w:basedOn w:val="aff4"/>
    <w:uiPriority w:val="99"/>
    <w:semiHidden/>
    <w:qFormat/>
    <w:rPr>
      <w:color w:val="808080"/>
    </w:rPr>
  </w:style>
  <w:style w:type="paragraph" w:customStyle="1" w:styleId="2">
    <w:name w:val="标准文件_二级项2"/>
    <w:basedOn w:val="affff6"/>
    <w:qFormat/>
    <w:pPr>
      <w:numPr>
        <w:ilvl w:val="1"/>
        <w:numId w:val="18"/>
      </w:numPr>
      <w:ind w:firstLineChars="0" w:firstLine="0"/>
    </w:pPr>
  </w:style>
  <w:style w:type="paragraph" w:customStyle="1" w:styleId="21">
    <w:name w:val="标准文件_三级项2"/>
    <w:basedOn w:val="affff6"/>
    <w:qFormat/>
    <w:pPr>
      <w:numPr>
        <w:numId w:val="27"/>
      </w:numPr>
      <w:spacing w:line="300" w:lineRule="exact"/>
      <w:ind w:firstLineChars="0"/>
    </w:pPr>
    <w:rPr>
      <w:rFonts w:ascii="Times New Roman"/>
    </w:rPr>
  </w:style>
  <w:style w:type="paragraph" w:customStyle="1" w:styleId="20">
    <w:name w:val="标准文件_一级项2"/>
    <w:basedOn w:val="affff6"/>
    <w:qFormat/>
    <w:pPr>
      <w:numPr>
        <w:numId w:val="28"/>
      </w:numPr>
      <w:spacing w:line="300" w:lineRule="exact"/>
      <w:ind w:firstLineChars="0"/>
    </w:pPr>
    <w:rPr>
      <w:rFonts w:ascii="Times New Roman"/>
    </w:rPr>
  </w:style>
  <w:style w:type="paragraph" w:customStyle="1" w:styleId="afffffffffc">
    <w:name w:val="标准文件_提示"/>
    <w:basedOn w:val="affff6"/>
    <w:next w:val="affff6"/>
    <w:qFormat/>
    <w:pPr>
      <w:ind w:firstLine="420"/>
    </w:pPr>
    <w:rPr>
      <w:rFonts w:ascii="黑体" w:eastAsia="黑体"/>
    </w:rPr>
  </w:style>
  <w:style w:type="character" w:customStyle="1" w:styleId="afffffffffd">
    <w:name w:val="标准文件_来源"/>
    <w:basedOn w:val="aff4"/>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1"/>
    <w:qFormat/>
    <w:pPr>
      <w:framePr w:w="3997" w:h="471" w:hRule="exact" w:hSpace="0" w:vSpace="181" w:wrap="around" w:vAnchor="page" w:hAnchor="page" w:x="1419" w:y="14097"/>
    </w:pPr>
  </w:style>
  <w:style w:type="paragraph" w:customStyle="1" w:styleId="affffffffff0">
    <w:name w:val="其他实施日期"/>
    <w:basedOn w:val="affffffff8"/>
    <w:qFormat/>
    <w:pPr>
      <w:framePr w:w="3997" w:h="471" w:hRule="exact" w:vSpace="181" w:wrap="around" w:vAnchor="page" w:hAnchor="page" w:x="7089" w:y="14097"/>
    </w:pPr>
  </w:style>
  <w:style w:type="paragraph" w:customStyle="1" w:styleId="affffffffff1">
    <w:name w:val="标准文件_文件编号"/>
    <w:basedOn w:val="affff6"/>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round"/>
      <w:spacing w:before="57"/>
    </w:pPr>
    <w:rPr>
      <w:sz w:val="21"/>
    </w:rPr>
  </w:style>
  <w:style w:type="paragraph" w:customStyle="1" w:styleId="affffffffff3">
    <w:name w:val="标准文件_文件名称"/>
    <w:basedOn w:val="affff6"/>
    <w:next w:val="affff6"/>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2">
    <w:name w:val="标准文件_附录图标号"/>
    <w:basedOn w:val="affff6"/>
    <w:next w:val="affff6"/>
    <w:qFormat/>
    <w:pPr>
      <w:numPr>
        <w:numId w:val="4"/>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6"/>
    <w:next w:val="affff6"/>
    <w:qFormat/>
    <w:pPr>
      <w:numPr>
        <w:numId w:val="3"/>
      </w:numPr>
      <w:spacing w:line="14" w:lineRule="exact"/>
      <w:ind w:firstLineChars="0" w:firstLine="0"/>
      <w:jc w:val="center"/>
    </w:pPr>
    <w:rPr>
      <w:rFonts w:eastAsia="黑体"/>
      <w:vanish/>
      <w:sz w:val="2"/>
    </w:rPr>
  </w:style>
  <w:style w:type="paragraph" w:customStyle="1" w:styleId="affffffffff4">
    <w:name w:val="标准文件_引言一级条标题"/>
    <w:basedOn w:val="affff6"/>
    <w:next w:val="affff6"/>
    <w:qFormat/>
    <w:pPr>
      <w:spacing w:beforeLines="50" w:before="50" w:afterLines="50" w:after="50"/>
      <w:ind w:firstLineChars="0" w:firstLine="0"/>
    </w:pPr>
    <w:rPr>
      <w:rFonts w:ascii="黑体" w:eastAsia="黑体"/>
    </w:rPr>
  </w:style>
  <w:style w:type="paragraph" w:customStyle="1" w:styleId="affffffffff5">
    <w:name w:val="标准文件_引言二级条标题"/>
    <w:basedOn w:val="affff6"/>
    <w:next w:val="affff6"/>
    <w:qFormat/>
    <w:pPr>
      <w:spacing w:beforeLines="50" w:before="50" w:afterLines="50" w:after="50"/>
      <w:ind w:firstLineChars="0" w:firstLine="0"/>
    </w:pPr>
    <w:rPr>
      <w:rFonts w:ascii="黑体" w:eastAsia="黑体"/>
    </w:rPr>
  </w:style>
  <w:style w:type="paragraph" w:customStyle="1" w:styleId="affffffffff6">
    <w:name w:val="标准文件_引言三级条标题"/>
    <w:basedOn w:val="affff6"/>
    <w:next w:val="affff6"/>
    <w:qFormat/>
    <w:pPr>
      <w:spacing w:beforeLines="50" w:before="50" w:afterLines="50" w:after="50"/>
      <w:ind w:firstLineChars="0" w:firstLine="0"/>
    </w:pPr>
    <w:rPr>
      <w:rFonts w:ascii="黑体" w:eastAsia="黑体"/>
    </w:rPr>
  </w:style>
  <w:style w:type="paragraph" w:customStyle="1" w:styleId="affffffffff7">
    <w:name w:val="标准文件_引言四级条标题"/>
    <w:basedOn w:val="affff6"/>
    <w:next w:val="affff6"/>
    <w:qFormat/>
    <w:pPr>
      <w:spacing w:beforeLines="50" w:before="50" w:afterLines="50" w:after="50"/>
      <w:ind w:firstLineChars="0" w:firstLine="0"/>
    </w:pPr>
    <w:rPr>
      <w:rFonts w:ascii="黑体" w:eastAsia="黑体"/>
    </w:rPr>
  </w:style>
  <w:style w:type="paragraph" w:customStyle="1" w:styleId="affffffffff8">
    <w:name w:val="标准文件_引言五级条标题"/>
    <w:basedOn w:val="affff6"/>
    <w:next w:val="affff6"/>
    <w:qFormat/>
    <w:pPr>
      <w:spacing w:beforeLines="50" w:before="50" w:afterLines="50" w:after="50"/>
      <w:ind w:firstLineChars="0" w:firstLine="0"/>
    </w:pPr>
    <w:rPr>
      <w:rFonts w:ascii="黑体" w:eastAsia="黑体"/>
    </w:rPr>
  </w:style>
  <w:style w:type="paragraph" w:customStyle="1" w:styleId="affffffffff9">
    <w:name w:val="标准文件_注后"/>
    <w:basedOn w:val="affff6"/>
    <w:qFormat/>
    <w:pPr>
      <w:ind w:left="811" w:firstLineChars="0" w:firstLine="0"/>
    </w:pPr>
    <w:rPr>
      <w:sz w:val="18"/>
    </w:rPr>
  </w:style>
  <w:style w:type="paragraph" w:customStyle="1" w:styleId="X">
    <w:name w:val="标准文件_注X后"/>
    <w:basedOn w:val="affff6"/>
    <w:qFormat/>
    <w:pPr>
      <w:ind w:left="811" w:firstLineChars="0" w:firstLine="0"/>
    </w:pPr>
    <w:rPr>
      <w:sz w:val="18"/>
    </w:rPr>
  </w:style>
  <w:style w:type="paragraph" w:customStyle="1" w:styleId="affffffffffa">
    <w:name w:val="标准文件_示例后"/>
    <w:basedOn w:val="affff6"/>
    <w:qFormat/>
    <w:pPr>
      <w:ind w:left="964" w:firstLineChars="0" w:firstLine="0"/>
    </w:pPr>
    <w:rPr>
      <w:sz w:val="18"/>
    </w:rPr>
  </w:style>
  <w:style w:type="paragraph" w:customStyle="1" w:styleId="X0">
    <w:name w:val="标准文件_示例X后"/>
    <w:basedOn w:val="affff6"/>
    <w:link w:val="X1"/>
    <w:qFormat/>
    <w:pPr>
      <w:ind w:left="1049" w:firstLineChars="0" w:firstLine="0"/>
    </w:pPr>
    <w:rPr>
      <w:sz w:val="18"/>
    </w:rPr>
  </w:style>
  <w:style w:type="character" w:customStyle="1" w:styleId="X1">
    <w:name w:val="标准文件_示例X后 字符"/>
    <w:basedOn w:val="Char0"/>
    <w:link w:val="X0"/>
    <w:qFormat/>
    <w:rPr>
      <w:rFonts w:ascii="宋体" w:hAnsi="Times New Roman"/>
      <w:sz w:val="18"/>
    </w:rPr>
  </w:style>
  <w:style w:type="paragraph" w:customStyle="1" w:styleId="affffffffffb">
    <w:name w:val="标准文件_索引项"/>
    <w:basedOn w:val="affff6"/>
    <w:next w:val="affff6"/>
    <w:qFormat/>
    <w:pPr>
      <w:tabs>
        <w:tab w:val="right" w:leader="dot" w:pos="9356"/>
      </w:tabs>
      <w:ind w:left="210" w:firstLineChars="0" w:hanging="210"/>
      <w:jc w:val="left"/>
    </w:pPr>
  </w:style>
  <w:style w:type="paragraph" w:customStyle="1" w:styleId="affffffffffc">
    <w:name w:val="标准文件_附录一级无标题"/>
    <w:basedOn w:val="afffff9"/>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fffa"/>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fffc"/>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fffd"/>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fffe"/>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ffffffffff4"/>
    <w:next w:val="affff6"/>
    <w:qFormat/>
    <w:pPr>
      <w:spacing w:beforeLines="0" w:before="0" w:afterLines="0" w:after="0" w:line="276" w:lineRule="auto"/>
    </w:pPr>
    <w:rPr>
      <w:rFonts w:ascii="宋体" w:eastAsia="宋体"/>
    </w:rPr>
  </w:style>
  <w:style w:type="paragraph" w:customStyle="1" w:styleId="afffffffffff2">
    <w:name w:val="标准文件_引言二级无标题"/>
    <w:basedOn w:val="affffffffff5"/>
    <w:next w:val="affff6"/>
    <w:qFormat/>
    <w:pPr>
      <w:spacing w:beforeLines="0" w:before="0" w:afterLines="0" w:after="0" w:line="276" w:lineRule="auto"/>
    </w:pPr>
    <w:rPr>
      <w:rFonts w:ascii="宋体" w:eastAsia="宋体"/>
    </w:rPr>
  </w:style>
  <w:style w:type="paragraph" w:customStyle="1" w:styleId="afffffffffff3">
    <w:name w:val="标准文件_引言三级无标题"/>
    <w:basedOn w:val="affffffffff6"/>
    <w:qFormat/>
    <w:pPr>
      <w:spacing w:beforeLines="0" w:before="0" w:afterLines="0" w:after="0" w:line="276" w:lineRule="auto"/>
    </w:pPr>
    <w:rPr>
      <w:rFonts w:ascii="宋体" w:eastAsia="宋体"/>
    </w:rPr>
  </w:style>
  <w:style w:type="paragraph" w:customStyle="1" w:styleId="afffffffffff4">
    <w:name w:val="标准文件_引言四级无标题"/>
    <w:basedOn w:val="affffffffff7"/>
    <w:next w:val="affff6"/>
    <w:qFormat/>
    <w:pPr>
      <w:spacing w:beforeLines="0" w:before="0" w:afterLines="0" w:after="0" w:line="276" w:lineRule="auto"/>
    </w:pPr>
    <w:rPr>
      <w:rFonts w:ascii="宋体" w:eastAsia="宋体"/>
    </w:rPr>
  </w:style>
  <w:style w:type="paragraph" w:customStyle="1" w:styleId="afffffffffff5">
    <w:name w:val="标准文件_引言五级无标题"/>
    <w:basedOn w:val="affffffffff8"/>
    <w:next w:val="affff6"/>
    <w:qFormat/>
    <w:pPr>
      <w:spacing w:beforeLines="0" w:before="0" w:afterLines="0" w:after="0" w:line="276" w:lineRule="auto"/>
    </w:pPr>
    <w:rPr>
      <w:rFonts w:ascii="宋体" w:eastAsia="宋体"/>
    </w:rPr>
  </w:style>
  <w:style w:type="paragraph" w:customStyle="1" w:styleId="afffffffffff6">
    <w:name w:val="标准文件_索引标题"/>
    <w:basedOn w:val="affffd"/>
    <w:next w:val="affff6"/>
    <w:qFormat/>
    <w:rPr>
      <w:rFonts w:hAnsi="黑体"/>
    </w:rPr>
  </w:style>
  <w:style w:type="paragraph" w:customStyle="1" w:styleId="afffffffffff7">
    <w:name w:val="标准文件_脚注内容"/>
    <w:basedOn w:val="affff6"/>
    <w:qFormat/>
    <w:pPr>
      <w:ind w:leftChars="200" w:left="400" w:hangingChars="200" w:hanging="200"/>
    </w:pPr>
    <w:rPr>
      <w:sz w:val="15"/>
    </w:rPr>
  </w:style>
  <w:style w:type="paragraph" w:customStyle="1" w:styleId="afffffffffff8">
    <w:name w:val="标准文件_术语条一"/>
    <w:basedOn w:val="affffffffd"/>
    <w:next w:val="affff6"/>
    <w:qFormat/>
  </w:style>
  <w:style w:type="paragraph" w:customStyle="1" w:styleId="afffffffffff9">
    <w:name w:val="标准文件_术语条二"/>
    <w:basedOn w:val="afffffffff0"/>
    <w:next w:val="affff6"/>
    <w:qFormat/>
  </w:style>
  <w:style w:type="paragraph" w:customStyle="1" w:styleId="afffffffffffa">
    <w:name w:val="标准文件_术语条三"/>
    <w:basedOn w:val="afffffffff"/>
    <w:next w:val="affff6"/>
    <w:qFormat/>
  </w:style>
  <w:style w:type="paragraph" w:customStyle="1" w:styleId="afffffffffffb">
    <w:name w:val="标准文件_术语条四"/>
    <w:basedOn w:val="afffffffff2"/>
    <w:next w:val="affff6"/>
    <w:qFormat/>
  </w:style>
  <w:style w:type="paragraph" w:customStyle="1" w:styleId="afffffffffffc">
    <w:name w:val="标准文件_术语条五"/>
    <w:basedOn w:val="affffffffe"/>
    <w:next w:val="a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d">
    <w:name w:val="发布"/>
    <w:basedOn w:val="aff4"/>
    <w:qFormat/>
    <w:rPr>
      <w:rFonts w:ascii="黑体" w:eastAsia="黑体"/>
      <w:spacing w:val="85"/>
      <w:w w:val="100"/>
      <w:position w:val="3"/>
      <w:sz w:val="28"/>
      <w:szCs w:val="28"/>
    </w:rPr>
  </w:style>
  <w:style w:type="character" w:customStyle="1" w:styleId="Char">
    <w:name w:val="段 Char"/>
    <w:link w:val="aff3"/>
    <w:qFormat/>
    <w:rPr>
      <w:rFonts w:ascii="宋体" w:hAnsi="Times New Roman"/>
      <w:sz w:val="21"/>
    </w:rPr>
  </w:style>
  <w:style w:type="character" w:customStyle="1" w:styleId="affb">
    <w:name w:val="纯文本 字符"/>
    <w:basedOn w:val="aff4"/>
    <w:link w:val="affa"/>
    <w:qFormat/>
    <w:rPr>
      <w:rFonts w:ascii="宋体" w:hAnsi="Courier New" w:cs="Courier New"/>
      <w:kern w:val="2"/>
      <w:sz w:val="21"/>
      <w:szCs w:val="21"/>
    </w:rPr>
  </w:style>
  <w:style w:type="paragraph" w:customStyle="1" w:styleId="12">
    <w:name w:val="表格第1行"/>
    <w:basedOn w:val="aff2"/>
    <w:qFormat/>
    <w:pPr>
      <w:adjustRightInd/>
      <w:spacing w:line="240" w:lineRule="auto"/>
      <w:jc w:val="center"/>
    </w:pPr>
    <w:rPr>
      <w:rFonts w:ascii="Times New Roman" w:hAnsi="Times New Roman"/>
      <w:b/>
      <w:sz w:val="18"/>
      <w:szCs w:val="18"/>
    </w:rPr>
  </w:style>
  <w:style w:type="paragraph" w:customStyle="1" w:styleId="24">
    <w:name w:val="表格第2行以后"/>
    <w:basedOn w:val="aff2"/>
    <w:qFormat/>
    <w:pPr>
      <w:adjustRightInd/>
      <w:spacing w:line="240" w:lineRule="auto"/>
      <w:ind w:left="-113" w:right="-113"/>
      <w:jc w:val="center"/>
    </w:pPr>
    <w:rPr>
      <w:rFonts w:ascii="Times New Roman" w:hAnsi="Times New Roman"/>
      <w:sz w:val="18"/>
      <w:szCs w:val="24"/>
    </w:rPr>
  </w:style>
  <w:style w:type="paragraph" w:customStyle="1" w:styleId="afffffffffffe">
    <w:name w:val="公式"/>
    <w:basedOn w:val="aff2"/>
    <w:link w:val="Char1"/>
    <w:qFormat/>
    <w:pPr>
      <w:adjustRightInd/>
      <w:spacing w:beforeLines="25" w:before="25" w:afterLines="25" w:after="25" w:line="240" w:lineRule="auto"/>
      <w:jc w:val="right"/>
    </w:pPr>
    <w:rPr>
      <w:rFonts w:ascii="宋体" w:hAnsi="宋体" w:cs="宋体"/>
      <w:sz w:val="18"/>
      <w:szCs w:val="20"/>
    </w:rPr>
  </w:style>
  <w:style w:type="paragraph" w:customStyle="1" w:styleId="affffffffffff">
    <w:name w:val="公式注释"/>
    <w:basedOn w:val="aff2"/>
    <w:qFormat/>
    <w:pPr>
      <w:adjustRightInd/>
      <w:spacing w:line="240" w:lineRule="auto"/>
      <w:ind w:firstLineChars="500" w:firstLine="500"/>
      <w:jc w:val="left"/>
    </w:pPr>
    <w:rPr>
      <w:rFonts w:ascii="Times New Roman" w:hAnsi="Times New Roman" w:cs="宋体"/>
      <w:szCs w:val="20"/>
    </w:rPr>
  </w:style>
  <w:style w:type="character" w:customStyle="1" w:styleId="Char1">
    <w:name w:val="公式 Char"/>
    <w:link w:val="afffffffffffe"/>
    <w:qFormat/>
    <w:rPr>
      <w:rFonts w:ascii="宋体" w:hAnsi="宋体" w:cs="宋体"/>
      <w:kern w:val="2"/>
      <w:sz w:val="18"/>
    </w:rPr>
  </w:style>
  <w:style w:type="paragraph" w:customStyle="1" w:styleId="affffffffffff0">
    <w:name w:val="一级条标题"/>
    <w:next w:val="aff2"/>
    <w:qFormat/>
    <w:pPr>
      <w:outlineLvl w:val="2"/>
    </w:pPr>
    <w:rPr>
      <w:rFonts w:eastAsia="黑体"/>
      <w:sz w:val="21"/>
    </w:rPr>
  </w:style>
  <w:style w:type="paragraph" w:customStyle="1" w:styleId="affffffffffff1">
    <w:name w:val="二级条标题"/>
    <w:basedOn w:val="affffffffffff0"/>
    <w:next w:val="aff2"/>
    <w:qFormat/>
    <w:pPr>
      <w:ind w:left="180"/>
      <w:outlineLvl w:val="3"/>
    </w:pPr>
  </w:style>
  <w:style w:type="paragraph" w:styleId="affffffffffff2">
    <w:name w:val="List Paragraph"/>
    <w:basedOn w:val="aff2"/>
    <w:uiPriority w:val="34"/>
    <w:qFormat/>
    <w:pPr>
      <w:adjustRightInd/>
      <w:spacing w:line="240" w:lineRule="auto"/>
      <w:ind w:firstLineChars="200" w:firstLine="420"/>
    </w:pPr>
    <w:rPr>
      <w:kern w:val="0"/>
      <w:szCs w:val="20"/>
    </w:rPr>
  </w:style>
  <w:style w:type="paragraph" w:customStyle="1" w:styleId="affffffffffff3">
    <w:name w:val="报告正文"/>
    <w:basedOn w:val="aff2"/>
    <w:next w:val="aff2"/>
    <w:qFormat/>
    <w:pPr>
      <w:spacing w:line="480" w:lineRule="exact"/>
      <w:ind w:firstLineChars="200" w:firstLine="200"/>
    </w:pPr>
    <w:rPr>
      <w:rFonts w:ascii="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BC533A48C4945CABE49ADC834B815E0"/>
        <w:category>
          <w:name w:val="常规"/>
          <w:gallery w:val="placeholder"/>
        </w:category>
        <w:types>
          <w:type w:val="bbPlcHdr"/>
        </w:types>
        <w:behaviors>
          <w:behavior w:val="content"/>
        </w:behaviors>
        <w:guid w:val="{71471F12-BC0E-48C7-A5C2-DBFECB3DE2C2}"/>
      </w:docPartPr>
      <w:docPartBody>
        <w:p w:rsidR="009973E1" w:rsidRDefault="000B7C1C">
          <w:pPr>
            <w:pStyle w:val="5BC533A48C4945CABE49ADC834B815E0"/>
          </w:pPr>
          <w:r>
            <w:rPr>
              <w:rStyle w:val="a3"/>
              <w:rFonts w:hint="eastAsia"/>
            </w:rPr>
            <w:t>单击或点击此处输入文字。</w:t>
          </w:r>
        </w:p>
      </w:docPartBody>
    </w:docPart>
    <w:docPart>
      <w:docPartPr>
        <w:name w:val="BF83E6141FF1496A8567937BDEB3557D"/>
        <w:category>
          <w:name w:val="常规"/>
          <w:gallery w:val="placeholder"/>
        </w:category>
        <w:types>
          <w:type w:val="bbPlcHdr"/>
        </w:types>
        <w:behaviors>
          <w:behavior w:val="content"/>
        </w:behaviors>
        <w:guid w:val="{5EC18E80-2E32-44D2-90D6-DFD95F2B0435}"/>
      </w:docPartPr>
      <w:docPartBody>
        <w:p w:rsidR="009973E1" w:rsidRDefault="000B7C1C">
          <w:pPr>
            <w:pStyle w:val="BF83E6141FF1496A8567937BDEB3557D"/>
          </w:pPr>
          <w:r>
            <w:rPr>
              <w:rStyle w:val="a3"/>
              <w:rFonts w:hint="eastAsia"/>
            </w:rPr>
            <w:t>选择一项。</w:t>
          </w:r>
        </w:p>
      </w:docPartBody>
    </w:docPart>
    <w:docPart>
      <w:docPartPr>
        <w:name w:val="CA307607184741A49711F0B752FFE256"/>
        <w:category>
          <w:name w:val="常规"/>
          <w:gallery w:val="placeholder"/>
        </w:category>
        <w:types>
          <w:type w:val="bbPlcHdr"/>
        </w:types>
        <w:behaviors>
          <w:behavior w:val="content"/>
        </w:behaviors>
        <w:guid w:val="{D447EE21-BD89-4C6A-BC5C-FDBC30A2BA47}"/>
      </w:docPartPr>
      <w:docPartBody>
        <w:p w:rsidR="009973E1" w:rsidRDefault="000B7C1C">
          <w:pPr>
            <w:pStyle w:val="CA307607184741A49711F0B752FFE25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9D7"/>
    <w:rsid w:val="0005188A"/>
    <w:rsid w:val="00054123"/>
    <w:rsid w:val="000739D7"/>
    <w:rsid w:val="000B7C1C"/>
    <w:rsid w:val="000D03E1"/>
    <w:rsid w:val="000D6426"/>
    <w:rsid w:val="000E3037"/>
    <w:rsid w:val="000F1958"/>
    <w:rsid w:val="00155B96"/>
    <w:rsid w:val="001910A1"/>
    <w:rsid w:val="001F4964"/>
    <w:rsid w:val="002A468A"/>
    <w:rsid w:val="002C297E"/>
    <w:rsid w:val="002E2AF1"/>
    <w:rsid w:val="0039450A"/>
    <w:rsid w:val="003C3B62"/>
    <w:rsid w:val="004478E8"/>
    <w:rsid w:val="00492FE8"/>
    <w:rsid w:val="004F5E0E"/>
    <w:rsid w:val="005177C0"/>
    <w:rsid w:val="006433BA"/>
    <w:rsid w:val="006441DE"/>
    <w:rsid w:val="006A7432"/>
    <w:rsid w:val="0070009B"/>
    <w:rsid w:val="00724B8A"/>
    <w:rsid w:val="00746B7E"/>
    <w:rsid w:val="008B3BA5"/>
    <w:rsid w:val="008C6C8F"/>
    <w:rsid w:val="008F46BF"/>
    <w:rsid w:val="008F6D91"/>
    <w:rsid w:val="009918FA"/>
    <w:rsid w:val="009973E1"/>
    <w:rsid w:val="009C6E90"/>
    <w:rsid w:val="00A3493E"/>
    <w:rsid w:val="00A46B1C"/>
    <w:rsid w:val="00A4716B"/>
    <w:rsid w:val="00A84A15"/>
    <w:rsid w:val="00A865A9"/>
    <w:rsid w:val="00B0118A"/>
    <w:rsid w:val="00B86FB2"/>
    <w:rsid w:val="00BC43B1"/>
    <w:rsid w:val="00C24E87"/>
    <w:rsid w:val="00C535F0"/>
    <w:rsid w:val="00C56DC5"/>
    <w:rsid w:val="00C5779B"/>
    <w:rsid w:val="00CB180C"/>
    <w:rsid w:val="00D11A4A"/>
    <w:rsid w:val="00D60B89"/>
    <w:rsid w:val="00D956C7"/>
    <w:rsid w:val="00E23561"/>
    <w:rsid w:val="00E4471B"/>
    <w:rsid w:val="00F110DF"/>
    <w:rsid w:val="00F40E4F"/>
    <w:rsid w:val="00FC0511"/>
    <w:rsid w:val="00FC0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BC533A48C4945CABE49ADC834B815E0">
    <w:name w:val="5BC533A48C4945CABE49ADC834B815E0"/>
    <w:qFormat/>
    <w:pPr>
      <w:widowControl w:val="0"/>
      <w:jc w:val="both"/>
    </w:pPr>
    <w:rPr>
      <w:kern w:val="2"/>
      <w:sz w:val="21"/>
      <w:szCs w:val="22"/>
    </w:rPr>
  </w:style>
  <w:style w:type="paragraph" w:customStyle="1" w:styleId="BF83E6141FF1496A8567937BDEB3557D">
    <w:name w:val="BF83E6141FF1496A8567937BDEB3557D"/>
    <w:qFormat/>
    <w:pPr>
      <w:widowControl w:val="0"/>
      <w:jc w:val="both"/>
    </w:pPr>
    <w:rPr>
      <w:kern w:val="2"/>
      <w:sz w:val="21"/>
      <w:szCs w:val="22"/>
    </w:rPr>
  </w:style>
  <w:style w:type="paragraph" w:customStyle="1" w:styleId="CA307607184741A49711F0B752FFE256">
    <w:name w:val="CA307607184741A49711F0B752FFE25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34AAB1-4129-4030-8722-2011D10F7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1357</Words>
  <Characters>7738</Characters>
  <Application>Microsoft Office Word</Application>
  <DocSecurity>0</DocSecurity>
  <Lines>64</Lines>
  <Paragraphs>18</Paragraphs>
  <ScaleCrop>false</ScaleCrop>
  <Company>PCMI</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111</dc:creator>
  <dc:description>&lt;config cover="true" show_menu="true" version="1.0.0" doctype="SDKXY"&gt;_x000d_
&lt;/config&gt;</dc:description>
  <cp:lastModifiedBy>Administrator</cp:lastModifiedBy>
  <cp:revision>5</cp:revision>
  <cp:lastPrinted>2021-02-02T08:22:00Z</cp:lastPrinted>
  <dcterms:created xsi:type="dcterms:W3CDTF">2024-11-22T06:23:00Z</dcterms:created>
  <dcterms:modified xsi:type="dcterms:W3CDTF">2026-07-06T02:47:00Z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2052-11.8.2.12085</vt:lpwstr>
  </property>
  <property fmtid="{D5CDD505-2E9C-101B-9397-08002B2CF9AE}" pid="15" name="ICV">
    <vt:lpwstr>E9C18C20EAA04074897B2C5F6DB97D5E</vt:lpwstr>
  </property>
</Properties>
</file>